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162300" cy="7175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sdt>
      <w:sdtPr>
        <w:rPr>
          <w:b/>
          <w:sz w:val="64"/>
          <w:szCs w:val="64"/>
          <w:lang w:val="en-US"/>
        </w:rPr>
        <w:alias w:val="Document Title"/>
        <w:tag w:val="Cover_Document_Title"/>
        <w:id w:val="37766366"/>
        <w:lock w:val="sdtLocked"/>
      </w:sdtPr>
      <w:sdtEndPr>
        <w:rPr>
          <w:b/>
          <w:color w:val="0000FF"/>
          <w:sz w:val="56"/>
          <w:szCs w:val="56"/>
          <w:lang w:val="en-US"/>
        </w:rPr>
      </w:sdtEndPr>
      <w:sdtContent>
        <w:sdt>
          <w:sdtPr>
            <w:rPr>
              <w:rFonts w:hint="eastAsia"/>
              <w:b/>
              <w:sz w:val="64"/>
              <w:szCs w:val="64"/>
              <w:lang w:val="en-US"/>
            </w:rPr>
            <w:alias w:val="标题"/>
            <w:tag w:val="标题"/>
            <w:id w:val="382771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Fonts w:hint="eastAsia"/>
              <w:b/>
              <w:color w:val="0000FF"/>
              <w:sz w:val="56"/>
              <w:szCs w:val="56"/>
              <w:lang w:val="en-US"/>
            </w:rPr>
          </w:sdtEndPr>
          <w:sdtContent>
            <w:p>
              <w:pPr>
                <w:rPr>
                  <w:b/>
                  <w:color w:val="0000FF"/>
                  <w:sz w:val="56"/>
                  <w:szCs w:val="56"/>
                  <w:lang w:val="en-US"/>
                </w:rPr>
              </w:pP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NX-1800N-C数字车载台</w:t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br w:type="textWrapping"/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产品规格书</w:t>
              </w:r>
            </w:p>
          </w:sdtContent>
        </w:sdt>
      </w:sdtContent>
    </w:sdt>
    <w:sdt>
      <w:sdtPr>
        <w:rPr>
          <w:rFonts w:hint="eastAsia"/>
          <w:b/>
          <w:sz w:val="40"/>
          <w:szCs w:val="40"/>
          <w:lang w:eastAsia="zh-CN"/>
        </w:rPr>
        <w:alias w:val="Project Name"/>
        <w:tag w:val="Cover_Project_Name"/>
        <w:id w:val="37766369"/>
        <w:lock w:val="sdtLocked"/>
      </w:sdtPr>
      <w:sdtEndPr>
        <w:rPr>
          <w:rFonts w:hint="eastAsia"/>
          <w:b/>
          <w:sz w:val="64"/>
          <w:szCs w:val="64"/>
          <w:lang w:eastAsia="zh-CN"/>
        </w:rPr>
      </w:sdtEndPr>
      <w:sdtContent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rPr>
              <w:rFonts w:hint="eastAsia"/>
              <w:b/>
              <w:sz w:val="64"/>
              <w:szCs w:val="64"/>
              <w:lang w:eastAsia="zh-CN"/>
            </w:rPr>
          </w:pPr>
          <w:r>
            <w:rPr>
              <w:rFonts w:hint="eastAsia"/>
              <w:b/>
              <w:sz w:val="40"/>
              <w:szCs w:val="40"/>
              <w:lang w:val="en-US" w:eastAsia="zh-CN"/>
            </w:rPr>
            <w:t>建伍</w:t>
          </w:r>
          <w:r>
            <w:rPr>
              <w:rFonts w:hint="eastAsia"/>
              <w:b/>
              <w:sz w:val="40"/>
              <w:szCs w:val="40"/>
              <w:lang w:eastAsia="zh-CN"/>
            </w:rPr>
            <w:t>终端产品线</w:t>
          </w:r>
        </w:p>
      </w:sdtContent>
    </w:sdt>
    <w:sdt>
      <w:sdtPr>
        <w:rPr>
          <w:b/>
          <w:sz w:val="40"/>
          <w:szCs w:val="40"/>
        </w:rPr>
        <w:alias w:val="标题"/>
        <w:id w:val="38277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  <w:b/>
          <w:sz w:val="40"/>
          <w:szCs w:val="40"/>
        </w:rPr>
      </w:sdtEndPr>
      <w:sdtContent>
        <w:p>
          <w:pPr>
            <w:rPr>
              <w:rFonts w:hint="eastAsia"/>
              <w:b/>
              <w:sz w:val="40"/>
              <w:szCs w:val="40"/>
            </w:rPr>
          </w:pPr>
          <w:r>
            <w:rPr>
              <w:rFonts w:hint="eastAsia"/>
              <w:b/>
              <w:sz w:val="40"/>
              <w:szCs w:val="40"/>
              <w:lang w:eastAsia="zh-CN"/>
            </w:rPr>
            <w:t>NX-1800N-C数字车载台产品规格书</w:t>
          </w:r>
        </w:p>
      </w:sdtContent>
    </w:sdt>
    <w:p>
      <w:pPr>
        <w:rPr>
          <w:rFonts w:hint="eastAsia"/>
          <w:b/>
          <w:sz w:val="40"/>
          <w:szCs w:val="40"/>
          <w:lang w:val="en-US" w:eastAsia="zh-CN"/>
        </w:rPr>
      </w:pPr>
    </w:p>
    <w:tbl>
      <w:tblPr>
        <w:tblStyle w:val="8"/>
        <w:tblW w:w="91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93"/>
        <w:gridCol w:w="1193"/>
        <w:gridCol w:w="1834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版本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作者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审核者</w:t>
            </w:r>
          </w:p>
        </w:tc>
        <w:tc>
          <w:tcPr>
            <w:tcW w:w="386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V1.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.2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kenwus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widowControl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基线文档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版权所有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日本JVC建伍株式会社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保留所有权利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版权声明：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本文档著作权由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享有</w:t>
      </w:r>
      <w: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  <w:t>；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本文档中的信息随着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KENWOOD建伍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产品和技术的进步将不断更新</w:t>
      </w:r>
      <w: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  <w:t>；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由于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JVC KENWOOD集团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技术的不断发展，以上指标数据若有变更，以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的新发布资料为准，恕不另行通知</w:t>
      </w:r>
      <w: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  <w:t>；</w:t>
      </w: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NEXEDGE®是JVC建伍株式会社的注册商标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NXDNTM 是JVCKENWOOD公司和ICOM公司的注册商标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FleetSvnc@ 是JVC建伍株式会社的注册商标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sdt>
      <w:sdtPr>
        <w:rPr>
          <w:rFonts w:asciiTheme="minorHAnsi" w:hAnsiTheme="minorHAnsi" w:eastAsiaTheme="minorEastAsia" w:cstheme="minorBidi"/>
          <w:b w:val="0"/>
          <w:spacing w:val="0"/>
          <w:kern w:val="2"/>
          <w:sz w:val="21"/>
          <w:szCs w:val="22"/>
        </w:rPr>
        <w:id w:val="877760"/>
      </w:sdtPr>
      <w:sdtEnd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sdtEndPr>
      <w:sdtContent>
        <w:p>
          <w:pPr>
            <w:pStyle w:val="12"/>
            <w:outlineLvl w:val="9"/>
          </w:pPr>
          <w:r>
            <w:t>目录</w:t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r>
            <w:fldChar w:fldCharType="begin"/>
          </w:r>
          <w:r>
            <w:instrText xml:space="preserve"> HYPERLINK \l _Toc26484 </w:instrText>
          </w:r>
          <w:r>
            <w:fldChar w:fldCharType="separate"/>
          </w:r>
          <w:r>
            <w:t xml:space="preserve">1 </w:t>
          </w:r>
          <w:r>
            <w:rPr>
              <w:rFonts w:hint="eastAsia"/>
              <w:lang w:eastAsia="zh-CN"/>
            </w:rPr>
            <w:t>产品外观</w:t>
          </w:r>
          <w:r>
            <w:tab/>
          </w:r>
          <w:r>
            <w:fldChar w:fldCharType="begin"/>
          </w:r>
          <w:r>
            <w:instrText xml:space="preserve"> PAGEREF _Toc26484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_Toc14348 </w:instrText>
          </w:r>
          <w:r>
            <w:fldChar w:fldCharType="separate"/>
          </w:r>
          <w:r>
            <w:rPr>
              <w:rFonts w:hint="eastAsia"/>
              <w:lang w:eastAsia="zh-CN"/>
            </w:rPr>
            <w:t>2 产品特点</w:t>
          </w:r>
          <w:r>
            <w:tab/>
          </w:r>
          <w:r>
            <w:fldChar w:fldCharType="begin"/>
          </w:r>
          <w:r>
            <w:instrText xml:space="preserve"> PAGEREF _Toc14348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  <w:rPr>
              <w:rFonts w:hint="eastAsia" w:eastAsiaTheme="minorEastAsia"/>
              <w:lang w:val="en-US" w:eastAsia="zh-CN"/>
            </w:rPr>
          </w:pPr>
          <w:r>
            <w:fldChar w:fldCharType="begin"/>
          </w:r>
          <w:r>
            <w:instrText xml:space="preserve"> HYPERLINK \l _Toc9930 </w:instrText>
          </w:r>
          <w:r>
            <w:fldChar w:fldCharType="separate"/>
          </w:r>
          <w:r>
            <w:rPr>
              <w:rFonts w:hint="eastAsia"/>
              <w:lang w:eastAsia="zh-CN"/>
            </w:rPr>
            <w:t>3 产品</w:t>
          </w:r>
          <w:r>
            <w:rPr>
              <w:rFonts w:hint="eastAsia"/>
              <w:lang w:val="en-US" w:eastAsia="zh-CN"/>
            </w:rPr>
            <w:t>标准技术规格</w:t>
          </w:r>
          <w:r>
            <w:tab/>
          </w:r>
          <w:r>
            <w:fldChar w:fldCharType="end"/>
          </w:r>
          <w:r>
            <w:rPr>
              <w:rFonts w:hint="eastAsia"/>
              <w:lang w:val="en-US" w:eastAsia="zh-CN"/>
            </w:rPr>
            <w:t>6</w:t>
          </w:r>
        </w:p>
        <w:p>
          <w:pPr>
            <w:rPr>
              <w:rFonts w:ascii="Arial" w:hAnsi="Arial" w:eastAsia="宋体" w:cstheme="minorBidi"/>
              <w:b w:val="0"/>
              <w:spacing w:val="0"/>
              <w:kern w:val="0"/>
              <w:sz w:val="21"/>
              <w:szCs w:val="22"/>
            </w:rPr>
          </w:pPr>
          <w:r>
            <w:fldChar w:fldCharType="end"/>
          </w:r>
        </w:p>
      </w:sdtContent>
    </w:sdt>
    <w:p>
      <w:p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0" w:name="_Toc26484"/>
      <w:r>
        <w:rPr>
          <w:rFonts w:hint="eastAsia"/>
          <w:lang w:eastAsia="zh-CN"/>
        </w:rPr>
        <w:t>产品外观</w:t>
      </w:r>
      <w:bookmarkEnd w:id="0"/>
    </w:p>
    <w:p/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724400" cy="4381500"/>
            <wp:effectExtent l="0" t="0" r="0" b="0"/>
            <wp:docPr id="1" name="图片 1" descr="image_product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age_product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770" cy="2261235"/>
            <wp:effectExtent l="0" t="0" r="11430" b="12065"/>
            <wp:docPr id="8" name="图片 8" descr="NX1K_MT_SWL_woMIC_LCD-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NX1K_MT_SWL_woMIC_LCD-A_GR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/>
    <w:p/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1" w:name="_Toc14348"/>
      <w:r>
        <w:rPr>
          <w:rFonts w:hint="eastAsia"/>
          <w:lang w:eastAsia="zh-CN"/>
        </w:rPr>
        <w:t>产品特点</w:t>
      </w:r>
      <w:bookmarkEnd w:id="1"/>
    </w:p>
    <w:p>
      <w:pPr>
        <w:pStyle w:val="13"/>
        <w:numPr>
          <w:ilvl w:val="0"/>
          <w:numId w:val="2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</w:rPr>
      </w:pPr>
      <w:bookmarkStart w:id="2" w:name="_Toc9930"/>
      <w:r>
        <w:rPr>
          <w:rFonts w:hint="eastAsia" w:ascii="Arial" w:hAnsi="Arial" w:eastAsia="宋体"/>
          <w:b/>
          <w:szCs w:val="22"/>
          <w:lang w:val="en-US" w:eastAsia="zh-CN"/>
        </w:rPr>
        <w:t>通用特征：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13字段、10位、带白色背光的LCD显示屏，清晰直观并可自定义显示；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7色LED指示灯提示不同的工作状态；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享有盛誉的KENWOOD音质：最大音频输出功率可高达6W，带可优化数字处理器的发射/接收音频组合处理：音频均衡器(高提升/低提升/平坦)；自动增益控制(发射开/关，接收：高/低/关)，麦克风型式设置；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多种扫描功能：单/双优先扫描、单区/多区扫描等等；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配置橙色紧急按键，并具有可用户化配置的紧急报警功能；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具有单兵作业安全提示功能；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具有操作语音提示功能；并且可编辑语音输入；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最大/最小音量设定；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自台编程功能，无需个人电脑，通过在前面板上的操作可自行编程设置参数；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配置DB15标准插座，易于连接外部设备，扩展应用；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内置GPS接收机控制指令和数据传输，连接GPS接收板后支持位置管理功能；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喇叭报警和扩音设备连接；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点火感测；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坚固耐用，符合美国军用标准MIL-STD810C/D/E/F/G/H 11项环境试验标准；防尘和防水通过国际标准IP54的测试；</w:t>
      </w:r>
    </w:p>
    <w:p>
      <w:pPr>
        <w:pStyle w:val="13"/>
        <w:numPr>
          <w:ilvl w:val="0"/>
          <w:numId w:val="0"/>
        </w:numPr>
        <w:spacing w:line="360" w:lineRule="auto"/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2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b/>
          <w:szCs w:val="22"/>
          <w:lang w:val="en-US" w:eastAsia="zh-CN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数字-NXDN模式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采用NXDN数字空中接口协议，FDMA方式；能够提供6.25kHz甚窄带物理信道，频率利用率高，适合大范围覆盖；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6.25KHz信道间隔和12.5kHz信道间隔可编程选择设置；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可应用于数字常规直通、常规中转通信系统和Type-D数字集群通信系统(选件)；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语音业务：个别选呼，小组呼叫，全员呼叫；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数据业务：状态信息，短数据传输，传呼；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支持常规多基站IP联网漫游通信，在多中转台IP联网下能够自动判选和切换到相对信号最好的中转台，漫游通信无需手动切换信道；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具有遥毙/复活、远程监听、远程检测功能；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具有延迟加入功能；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具有15bit的语音数字加密功能；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具有空中别名功能，呼叫方能够将自己的别名或ID发送到接收方显示出来；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6.25kHz数字信道和12.5kHz数字信道可混合设置，各个信道根据需要独立选择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具有混合工作模式，NXDN数字信号和FM模拟信号自适应接收，根据接收信号的性质，自动对应发射模式；</w:t>
      </w:r>
    </w:p>
    <w:p>
      <w:pPr>
        <w:pStyle w:val="13"/>
        <w:numPr>
          <w:ilvl w:val="0"/>
          <w:numId w:val="0"/>
        </w:numPr>
        <w:spacing w:line="360" w:lineRule="auto"/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2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b/>
          <w:szCs w:val="22"/>
          <w:lang w:val="en-US" w:eastAsia="zh-CN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模拟-FM调频模式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可应用于模拟常规直通、常规中转通信系统；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25kHz信道间隔和12.5kHz信道间隔可编程选择设置；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支持FleetSync I/Il信令，可以提供PTT-ID选呼、遥毙/复活、未接回呼、数据传输、尾噪消除等应用功能；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支持MDC-1200信令；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具有QT/DQT编码和解码功能和DTMF编码/解码功能；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具有语音压-扩功能,每个信道独立选择设置；</w:t>
      </w:r>
    </w:p>
    <w:p>
      <w:pPr>
        <w:pStyle w:val="13"/>
        <w:numPr>
          <w:ilvl w:val="2"/>
          <w:numId w:val="3"/>
        </w:numPr>
        <w:spacing w:line="360" w:lineRule="auto"/>
        <w:ind w:left="1260" w:leftChars="0" w:hanging="420" w:firstLineChars="0"/>
        <w:jc w:val="both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  <w:lang w:val="en-US" w:eastAsia="zh-CN"/>
        </w:rPr>
        <w:t>支持语音倒频加密功能；</w:t>
      </w:r>
    </w:p>
    <w:p>
      <w:pPr>
        <w:pStyle w:val="13"/>
        <w:numPr>
          <w:ilvl w:val="0"/>
          <w:numId w:val="0"/>
        </w:numPr>
        <w:spacing w:line="360" w:lineRule="auto"/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spacing w:line="360" w:lineRule="auto"/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spacing w:line="360" w:lineRule="auto"/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spacing w:line="360" w:lineRule="auto"/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spacing w:line="360" w:lineRule="auto"/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spacing w:line="360" w:lineRule="auto"/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13"/>
        <w:numPr>
          <w:ilvl w:val="0"/>
          <w:numId w:val="0"/>
        </w:numPr>
        <w:spacing w:line="360" w:lineRule="auto"/>
        <w:ind w:left="840" w:leftChars="0"/>
        <w:jc w:val="both"/>
        <w:rPr>
          <w:rFonts w:hint="eastAsia" w:ascii="Arial" w:hAnsi="Arial" w:eastAsia="宋体"/>
          <w:szCs w:val="22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产品标准技术</w:t>
      </w:r>
      <w:r>
        <w:rPr>
          <w:rFonts w:hint="eastAsia"/>
          <w:lang w:eastAsia="zh-CN"/>
        </w:rPr>
        <w:t>规格</w:t>
      </w:r>
      <w:bookmarkEnd w:id="2"/>
    </w:p>
    <w:tbl>
      <w:tblPr>
        <w:tblStyle w:val="8"/>
        <w:tblW w:w="86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425"/>
        <w:gridCol w:w="4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一般规格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频率范围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400～470MHz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信道数量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区域数量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信道间隔 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6.25kHz/12.5kHz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电流消耗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待机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工作电源电压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13.2VDC（10.8VDC～15.6VDC)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工作温度范围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- 30～+60℃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频率稳定度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±0.5ppm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天线阻抗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尺寸（宽*高*厚）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161*43*168.2mm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重量（净重）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支持标准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ETSI(EMC)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301 489-1，EN 301 489-5.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ETSI(频谱)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300 086，EN 300 113，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300 219, EN 300 166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ETSI(安全)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 62368-1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灵敏度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 3%误码率(6.25kHz/12.5kHz)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0.19μV/0.24μV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 1%误码率(6.25kHz/12.5kHz)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0.24μV/0.30μV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 12dB SINAD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(12.5kHz/25kHz)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0.22μV/0.26μV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 20dB SINAD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(12.5kHz/25kHz)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0.33μV/0.32μV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选择性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模拟12.5kHz/25kHz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65dB/75dB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互调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杂波辐射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音频失真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音频输出功率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4W~6W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发射功率 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高25W/低5W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剩余调频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模拟12.5kHz/25kHz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40dB/45dB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杂散辐射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-36dBm≤1GHz，- 30dBm&gt;1GHz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调制失真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数字协议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 TS 1-A，NXDN TS 1-B，NXDN TS 1-C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NXDN TS 1-D，NXDN TS 1-E，NXDN TS 1-F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调制类型</w:t>
            </w:r>
          </w:p>
        </w:tc>
        <w:tc>
          <w:tcPr>
            <w:tcW w:w="4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16K0F3E，8K50F3E，8K30F1E,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8K30F1D，8K30F7W，4K00F1E,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4K00F1D，4K00F7W，4K00F2D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依据EN标准或TIA/EIA-603获得的模拟测量值和所示规格均为典型值。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由于技术不断地发展，以上数据有可能变更，恕不预先通知。</w:t>
      </w:r>
    </w:p>
    <w:p>
      <w:pPr>
        <w:rPr>
          <w:rFonts w:hint="eastAsia"/>
          <w:lang w:val="en-US" w:eastAsia="zh-CN"/>
        </w:rPr>
      </w:pP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280"/>
      </w:tabs>
      <w:spacing w:line="180" w:lineRule="exact"/>
      <w:ind w:right="360"/>
      <w:rPr>
        <w:rFonts w:hint="eastAsia" w:ascii="楷体_GB2312" w:eastAsia="楷体_GB2312"/>
      </w:rPr>
    </w:pPr>
    <w:r>
      <w:rPr>
        <w:rStyle w:val="11"/>
        <w:rFonts w:hint="eastAsia" w:ascii="楷体_GB2312" w:eastAsia="楷体_GB2312"/>
      </w:rPr>
      <w:t>版权所有</w:t>
    </w:r>
    <w:r>
      <w:rPr>
        <w:rStyle w:val="11"/>
        <w:rFonts w:hint="eastAsia" w:eastAsia="楷体_GB2312"/>
      </w:rPr>
      <w:t>©</w:t>
    </w:r>
    <w:r>
      <w:rPr>
        <w:rStyle w:val="11"/>
        <w:rFonts w:hint="eastAsia" w:ascii="楷体_GB2312" w:eastAsia="楷体_GB2312"/>
      </w:rPr>
      <w:t xml:space="preserve"> </w:t>
    </w:r>
    <w:r>
      <w:rPr>
        <w:rFonts w:hint="eastAsia" w:ascii="楷体_GB2312" w:eastAsia="楷体_GB2312"/>
      </w:rPr>
      <w:fldChar w:fldCharType="begin"/>
    </w:r>
    <w:r>
      <w:rPr>
        <w:rStyle w:val="11"/>
        <w:rFonts w:hint="eastAsia" w:ascii="楷体_GB2312" w:eastAsia="楷体_GB2312"/>
      </w:rPr>
      <w:instrText xml:space="preserve"> DATE \@ "yyyy" </w:instrText>
    </w:r>
    <w:r>
      <w:rPr>
        <w:rFonts w:hint="eastAsia" w:ascii="楷体_GB2312" w:eastAsia="楷体_GB2312"/>
      </w:rPr>
      <w:fldChar w:fldCharType="separate"/>
    </w:r>
    <w:r>
      <w:rPr>
        <w:rStyle w:val="11"/>
        <w:rFonts w:hint="eastAsia" w:ascii="楷体_GB2312" w:eastAsia="楷体_GB2312"/>
      </w:rPr>
      <w:t>2023</w:t>
    </w:r>
    <w:r>
      <w:rPr>
        <w:rFonts w:hint="eastAsia" w:ascii="楷体_GB2312" w:eastAsia="楷体_GB2312"/>
      </w:rPr>
      <w:fldChar w:fldCharType="end"/>
    </w:r>
    <w:r>
      <w:rPr>
        <w:rStyle w:val="11"/>
        <w:rFonts w:hint="eastAsia" w:ascii="楷体_GB2312" w:eastAsia="楷体_GB2312"/>
      </w:rPr>
      <w:t xml:space="preserve"> www.kenwood.com</w:t>
    </w:r>
    <w:r>
      <w:rPr>
        <w:rFonts w:hint="eastAsia" w:ascii="楷体_GB2312" w:eastAsia="楷体_GB2312"/>
      </w:rPr>
      <w:t xml:space="preserve">                                                                             </w:t>
    </w:r>
  </w:p>
  <w:p>
    <w:pPr>
      <w:pStyle w:val="6"/>
      <w:spacing w:line="180" w:lineRule="exact"/>
    </w:pPr>
    <w:r>
      <w:rPr>
        <w:rStyle w:val="11"/>
        <w:rFonts w:hint="eastAsia" w:ascii="楷体_GB2312" w:eastAsia="楷体_GB2312"/>
      </w:rPr>
      <w:t>内部保密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right"/>
    </w:pPr>
    <w:r>
      <w:rPr>
        <w:u w:val="none"/>
      </w:rPr>
      <w:drawing>
        <wp:inline distT="0" distB="0" distL="114300" distR="114300">
          <wp:extent cx="1390015" cy="315595"/>
          <wp:effectExtent l="0" t="0" r="6985" b="1905"/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01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7D45"/>
    <w:multiLevelType w:val="multilevel"/>
    <w:tmpl w:val="3CC37D4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4421996"/>
    <w:multiLevelType w:val="multilevel"/>
    <w:tmpl w:val="64421996"/>
    <w:lvl w:ilvl="0" w:tentative="0">
      <w:start w:val="1"/>
      <w:numFmt w:val="decimal"/>
      <w:pStyle w:val="2"/>
      <w:lvlText w:val="%1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  <w:rPr>
        <w:rFonts w:hint="default" w:ascii="Arial" w:hAnsi="Arial" w:cs="Arial"/>
      </w:rPr>
    </w:lvl>
    <w:lvl w:ilvl="3" w:tentative="0">
      <w:start w:val="1"/>
      <w:numFmt w:val="decimal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abstractNum w:abstractNumId="2">
    <w:nsid w:val="7580A2F1"/>
    <w:multiLevelType w:val="multilevel"/>
    <w:tmpl w:val="7580A2F1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JiZmZlN2QxMTJmYTM2ZTkwMWU2NTFiOTUzY2YifQ=="/>
  </w:docVars>
  <w:rsids>
    <w:rsidRoot w:val="00000000"/>
    <w:rsid w:val="000227DE"/>
    <w:rsid w:val="00DE2DDD"/>
    <w:rsid w:val="017512B4"/>
    <w:rsid w:val="01C901A1"/>
    <w:rsid w:val="03C1723C"/>
    <w:rsid w:val="043833BC"/>
    <w:rsid w:val="04D1736D"/>
    <w:rsid w:val="05243941"/>
    <w:rsid w:val="05FE23E4"/>
    <w:rsid w:val="066E1317"/>
    <w:rsid w:val="07C75183"/>
    <w:rsid w:val="08F71A98"/>
    <w:rsid w:val="09B9224A"/>
    <w:rsid w:val="0A6F4382"/>
    <w:rsid w:val="0B1B7594"/>
    <w:rsid w:val="0B352404"/>
    <w:rsid w:val="0C1069CD"/>
    <w:rsid w:val="0F8910A9"/>
    <w:rsid w:val="111425F0"/>
    <w:rsid w:val="12A3059B"/>
    <w:rsid w:val="145D3689"/>
    <w:rsid w:val="155C2C83"/>
    <w:rsid w:val="163C6D3C"/>
    <w:rsid w:val="16B32D77"/>
    <w:rsid w:val="16E11692"/>
    <w:rsid w:val="16E66D61"/>
    <w:rsid w:val="175005C5"/>
    <w:rsid w:val="1A4268EB"/>
    <w:rsid w:val="1A7B3BAB"/>
    <w:rsid w:val="1AB570BD"/>
    <w:rsid w:val="1C36219D"/>
    <w:rsid w:val="1DD2442A"/>
    <w:rsid w:val="1E94348E"/>
    <w:rsid w:val="1FA932E3"/>
    <w:rsid w:val="1FB92A8D"/>
    <w:rsid w:val="202F16C0"/>
    <w:rsid w:val="209459C7"/>
    <w:rsid w:val="21294361"/>
    <w:rsid w:val="21AD6D40"/>
    <w:rsid w:val="21CE6CB6"/>
    <w:rsid w:val="22BD7457"/>
    <w:rsid w:val="23AC53CD"/>
    <w:rsid w:val="243E6375"/>
    <w:rsid w:val="25900E53"/>
    <w:rsid w:val="272555CB"/>
    <w:rsid w:val="275B0FEC"/>
    <w:rsid w:val="27CC3C98"/>
    <w:rsid w:val="29C10D80"/>
    <w:rsid w:val="2AF73935"/>
    <w:rsid w:val="2B9E594C"/>
    <w:rsid w:val="2C574478"/>
    <w:rsid w:val="2D1233DA"/>
    <w:rsid w:val="2E0A551A"/>
    <w:rsid w:val="2F063CF2"/>
    <w:rsid w:val="311A5FF2"/>
    <w:rsid w:val="31777D04"/>
    <w:rsid w:val="31C75BFC"/>
    <w:rsid w:val="320F6A40"/>
    <w:rsid w:val="32607E4C"/>
    <w:rsid w:val="33313908"/>
    <w:rsid w:val="336D632F"/>
    <w:rsid w:val="33B514D5"/>
    <w:rsid w:val="34080E52"/>
    <w:rsid w:val="366E3E92"/>
    <w:rsid w:val="36743E79"/>
    <w:rsid w:val="36B1347B"/>
    <w:rsid w:val="37385DE2"/>
    <w:rsid w:val="377F2724"/>
    <w:rsid w:val="37F0752F"/>
    <w:rsid w:val="38267A0E"/>
    <w:rsid w:val="3831701C"/>
    <w:rsid w:val="383C7CBE"/>
    <w:rsid w:val="3AA953A4"/>
    <w:rsid w:val="3C522566"/>
    <w:rsid w:val="3D601A89"/>
    <w:rsid w:val="3DF37D79"/>
    <w:rsid w:val="3EB412B6"/>
    <w:rsid w:val="3F514D57"/>
    <w:rsid w:val="3FB6105E"/>
    <w:rsid w:val="42115651"/>
    <w:rsid w:val="448422C5"/>
    <w:rsid w:val="44E977E0"/>
    <w:rsid w:val="479A1925"/>
    <w:rsid w:val="48022966"/>
    <w:rsid w:val="488717E9"/>
    <w:rsid w:val="48C52312"/>
    <w:rsid w:val="4A4756D4"/>
    <w:rsid w:val="4A53205B"/>
    <w:rsid w:val="4B180E1F"/>
    <w:rsid w:val="4C082C41"/>
    <w:rsid w:val="4C1C493F"/>
    <w:rsid w:val="4D302F88"/>
    <w:rsid w:val="4E8D61CF"/>
    <w:rsid w:val="4EAF439C"/>
    <w:rsid w:val="4F075432"/>
    <w:rsid w:val="4F253B0A"/>
    <w:rsid w:val="4FED4628"/>
    <w:rsid w:val="50267B3A"/>
    <w:rsid w:val="506A1680"/>
    <w:rsid w:val="50AD6BE4"/>
    <w:rsid w:val="516A22CE"/>
    <w:rsid w:val="53051C89"/>
    <w:rsid w:val="531445C2"/>
    <w:rsid w:val="53397B84"/>
    <w:rsid w:val="53EE7631"/>
    <w:rsid w:val="54F91BAA"/>
    <w:rsid w:val="55007ECC"/>
    <w:rsid w:val="55D01046"/>
    <w:rsid w:val="56876E58"/>
    <w:rsid w:val="56D66003"/>
    <w:rsid w:val="576C64D8"/>
    <w:rsid w:val="587632DC"/>
    <w:rsid w:val="58885441"/>
    <w:rsid w:val="589A10C5"/>
    <w:rsid w:val="58E40592"/>
    <w:rsid w:val="596A4F3B"/>
    <w:rsid w:val="5A7F2D8D"/>
    <w:rsid w:val="5B0A49B8"/>
    <w:rsid w:val="5B0D4D70"/>
    <w:rsid w:val="5B7756EE"/>
    <w:rsid w:val="5BB44D5A"/>
    <w:rsid w:val="5D7A7717"/>
    <w:rsid w:val="5D9933F8"/>
    <w:rsid w:val="5E624433"/>
    <w:rsid w:val="5F3D09FC"/>
    <w:rsid w:val="603F4D07"/>
    <w:rsid w:val="613025C6"/>
    <w:rsid w:val="61AD3208"/>
    <w:rsid w:val="621C0D9D"/>
    <w:rsid w:val="623B28A8"/>
    <w:rsid w:val="62737DAC"/>
    <w:rsid w:val="627B5AC3"/>
    <w:rsid w:val="62BB2364"/>
    <w:rsid w:val="63612F0B"/>
    <w:rsid w:val="63AB4186"/>
    <w:rsid w:val="65226971"/>
    <w:rsid w:val="65B5753E"/>
    <w:rsid w:val="65E322FD"/>
    <w:rsid w:val="671C5AEB"/>
    <w:rsid w:val="673633D3"/>
    <w:rsid w:val="675608AD"/>
    <w:rsid w:val="6803642F"/>
    <w:rsid w:val="69DA174D"/>
    <w:rsid w:val="69E71C90"/>
    <w:rsid w:val="69E91EAC"/>
    <w:rsid w:val="6ADD44FB"/>
    <w:rsid w:val="6B480E55"/>
    <w:rsid w:val="6CE10C19"/>
    <w:rsid w:val="6D102A05"/>
    <w:rsid w:val="6D260D22"/>
    <w:rsid w:val="6D8A12B0"/>
    <w:rsid w:val="6DFE57FA"/>
    <w:rsid w:val="6EC72405"/>
    <w:rsid w:val="6F9208F0"/>
    <w:rsid w:val="70217FA0"/>
    <w:rsid w:val="712D50B1"/>
    <w:rsid w:val="71381023"/>
    <w:rsid w:val="71597917"/>
    <w:rsid w:val="72593C6B"/>
    <w:rsid w:val="726B39D4"/>
    <w:rsid w:val="72A526E9"/>
    <w:rsid w:val="72DA0AC8"/>
    <w:rsid w:val="72DC58F8"/>
    <w:rsid w:val="73AF381F"/>
    <w:rsid w:val="752A2293"/>
    <w:rsid w:val="77277E53"/>
    <w:rsid w:val="779A6594"/>
    <w:rsid w:val="77D777E8"/>
    <w:rsid w:val="79224A93"/>
    <w:rsid w:val="79A03FCF"/>
    <w:rsid w:val="7AAC0AB8"/>
    <w:rsid w:val="7C413482"/>
    <w:rsid w:val="7C5E16DD"/>
    <w:rsid w:val="7C9C6FC2"/>
    <w:rsid w:val="7DC01256"/>
    <w:rsid w:val="7E84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before="480" w:line="288" w:lineRule="auto"/>
      <w:ind w:left="1247" w:hanging="1247"/>
      <w:jc w:val="both"/>
      <w:outlineLvl w:val="0"/>
    </w:pPr>
    <w:rPr>
      <w:rFonts w:ascii="Arial" w:hAnsi="Arial" w:eastAsia="宋体" w:cstheme="minorBidi"/>
      <w:b/>
      <w:bCs/>
      <w:kern w:val="44"/>
      <w:sz w:val="36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4"/>
    <w:next w:val="1"/>
    <w:unhideWhenUsed/>
    <w:qFormat/>
    <w:uiPriority w:val="39"/>
    <w:pPr>
      <w:tabs>
        <w:tab w:val="left" w:pos="420"/>
        <w:tab w:val="left" w:pos="567"/>
        <w:tab w:val="left" w:pos="1134"/>
        <w:tab w:val="left" w:pos="1777"/>
        <w:tab w:val="right" w:leader="dot" w:pos="8789"/>
        <w:tab w:val="right" w:leader="dot" w:pos="9062"/>
      </w:tabs>
      <w:ind w:left="1701" w:right="34" w:hanging="567"/>
    </w:pPr>
  </w:style>
  <w:style w:type="paragraph" w:styleId="4">
    <w:name w:val="toc 2"/>
    <w:basedOn w:val="5"/>
    <w:next w:val="1"/>
    <w:unhideWhenUsed/>
    <w:qFormat/>
    <w:uiPriority w:val="39"/>
    <w:pPr>
      <w:tabs>
        <w:tab w:val="left" w:pos="420"/>
        <w:tab w:val="left" w:pos="567"/>
        <w:tab w:val="left" w:pos="1134"/>
        <w:tab w:val="right" w:leader="dot" w:pos="8789"/>
        <w:tab w:val="right" w:leader="dot" w:pos="9062"/>
      </w:tabs>
      <w:spacing w:before="120"/>
      <w:ind w:left="1276" w:right="907" w:hanging="709"/>
    </w:pPr>
    <w:rPr>
      <w:b w:val="0"/>
    </w:rPr>
  </w:style>
  <w:style w:type="paragraph" w:styleId="5">
    <w:name w:val="toc 1"/>
    <w:basedOn w:val="1"/>
    <w:next w:val="4"/>
    <w:unhideWhenUsed/>
    <w:qFormat/>
    <w:uiPriority w:val="39"/>
    <w:pPr>
      <w:keepNext/>
      <w:widowControl/>
      <w:tabs>
        <w:tab w:val="left" w:pos="420"/>
        <w:tab w:val="left" w:pos="567"/>
        <w:tab w:val="right" w:leader="dot" w:pos="8789"/>
        <w:tab w:val="right" w:leader="dot" w:pos="9062"/>
      </w:tabs>
      <w:spacing w:before="360"/>
      <w:ind w:left="567" w:right="34" w:hanging="425"/>
      <w:jc w:val="left"/>
    </w:pPr>
    <w:rPr>
      <w:b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TOC Heading"/>
    <w:basedOn w:val="1"/>
    <w:unhideWhenUsed/>
    <w:qFormat/>
    <w:uiPriority w:val="39"/>
    <w:pPr>
      <w:keepNext/>
      <w:widowControl/>
      <w:spacing w:before="840" w:after="240"/>
      <w:jc w:val="left"/>
    </w:pPr>
    <w:rPr>
      <w:rFonts w:cstheme="majorBidi"/>
      <w:b/>
      <w:spacing w:val="10"/>
      <w:kern w:val="20"/>
      <w:sz w:val="40"/>
      <w:szCs w:val="2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1391</Words>
  <Characters>2076</Characters>
  <Lines>0</Lines>
  <Paragraphs>0</Paragraphs>
  <TotalTime>0</TotalTime>
  <ScaleCrop>false</ScaleCrop>
  <LinksUpToDate>false</LinksUpToDate>
  <CharactersWithSpaces>2146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2022-12-09T08:53:00Z</dcterms:created>
  <dc:creator>上海汉界通信工程有限公司</dc:creator>
  <cp:lastModifiedBy>无线对讲系统-徐工13918677771</cp:lastModifiedBy>
  <dcterms:modified xsi:type="dcterms:W3CDTF">2023-04-29T04:54:40Z</dcterms:modified>
  <dc:title>NX-1800N-C数字车载台
产品规格书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C851010BB33D4DBE81F880CAB341ECEB</vt:lpwstr>
  </property>
</Properties>
</file>