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162300" cy="717550"/>
            <wp:effectExtent l="0" t="0" r="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sdt>
      <w:sdtPr>
        <w:rPr>
          <w:b/>
          <w:sz w:val="64"/>
          <w:szCs w:val="64"/>
          <w:lang w:val="en-US"/>
        </w:rPr>
        <w:alias w:val="Document Title"/>
        <w:tag w:val="Cover_Document_Title"/>
        <w:id w:val="37766366"/>
        <w:lock w:val="sdtLocked"/>
      </w:sdtPr>
      <w:sdtEndPr>
        <w:rPr>
          <w:b/>
          <w:color w:val="0000FF"/>
          <w:sz w:val="56"/>
          <w:szCs w:val="56"/>
          <w:lang w:val="en-US"/>
        </w:rPr>
      </w:sdtEndPr>
      <w:sdtContent>
        <w:sdt>
          <w:sdtPr>
            <w:rPr>
              <w:rFonts w:hint="eastAsia"/>
              <w:b/>
              <w:sz w:val="64"/>
              <w:szCs w:val="64"/>
              <w:lang w:val="en-US"/>
            </w:rPr>
            <w:alias w:val="标题"/>
            <w:tag w:val="标题"/>
            <w:id w:val="382771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>
            <w:rPr>
              <w:rFonts w:hint="eastAsia"/>
              <w:b/>
              <w:color w:val="0000FF"/>
              <w:sz w:val="56"/>
              <w:szCs w:val="56"/>
              <w:lang w:val="en-US"/>
            </w:rPr>
          </w:sdtEndPr>
          <w:sdtContent>
            <w:p>
              <w:pPr>
                <w:rPr>
                  <w:b/>
                  <w:color w:val="0000FF"/>
                  <w:sz w:val="56"/>
                  <w:szCs w:val="56"/>
                  <w:lang w:val="en-US"/>
                </w:rPr>
              </w:pPr>
              <w:r>
                <w:rPr>
                  <w:rFonts w:hint="eastAsia"/>
                  <w:b/>
                  <w:sz w:val="64"/>
                  <w:szCs w:val="64"/>
                  <w:lang w:val="en-US" w:eastAsia="zh-CN"/>
                </w:rPr>
                <w:t>NXR-1800中继台产品规格书</w:t>
              </w:r>
            </w:p>
          </w:sdtContent>
        </w:sdt>
      </w:sdtContent>
    </w:sdt>
    <w:sdt>
      <w:sdtPr>
        <w:rPr>
          <w:rFonts w:hint="eastAsia"/>
          <w:b/>
          <w:sz w:val="40"/>
          <w:szCs w:val="40"/>
          <w:lang w:eastAsia="zh-CN"/>
        </w:rPr>
        <w:alias w:val="Project Name"/>
        <w:tag w:val="Cover_Project_Name"/>
        <w:id w:val="37766369"/>
        <w:lock w:val="sdtLocked"/>
      </w:sdtPr>
      <w:sdtEndPr>
        <w:rPr>
          <w:rFonts w:hint="eastAsia"/>
          <w:b/>
          <w:sz w:val="64"/>
          <w:szCs w:val="64"/>
          <w:lang w:eastAsia="zh-CN"/>
        </w:rPr>
      </w:sdtEndPr>
      <w:sdtContent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rPr>
              <w:rFonts w:hint="eastAsia"/>
              <w:b/>
              <w:sz w:val="64"/>
              <w:szCs w:val="64"/>
              <w:lang w:eastAsia="zh-CN"/>
            </w:rPr>
          </w:pPr>
          <w:r>
            <w:rPr>
              <w:rFonts w:hint="eastAsia"/>
              <w:b/>
              <w:sz w:val="40"/>
              <w:szCs w:val="40"/>
              <w:lang w:val="en-US" w:eastAsia="zh-CN"/>
            </w:rPr>
            <w:t>建伍</w:t>
          </w:r>
          <w:r>
            <w:rPr>
              <w:rFonts w:hint="eastAsia"/>
              <w:b/>
              <w:sz w:val="40"/>
              <w:szCs w:val="40"/>
              <w:lang w:eastAsia="zh-CN"/>
            </w:rPr>
            <w:t>终端产品线</w:t>
          </w:r>
        </w:p>
      </w:sdtContent>
    </w:sdt>
    <w:sdt>
      <w:sdtPr>
        <w:rPr>
          <w:b/>
          <w:sz w:val="40"/>
          <w:szCs w:val="40"/>
        </w:rPr>
        <w:alias w:val="标题"/>
        <w:id w:val="382772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hint="eastAsia"/>
          <w:b/>
          <w:sz w:val="40"/>
          <w:szCs w:val="40"/>
        </w:rPr>
      </w:sdtEndPr>
      <w:sdtContent>
        <w:p>
          <w:pPr>
            <w:rPr>
              <w:rFonts w:hint="eastAsia"/>
              <w:b/>
              <w:sz w:val="40"/>
              <w:szCs w:val="40"/>
            </w:rPr>
          </w:pPr>
          <w:r>
            <w:rPr>
              <w:rFonts w:hint="eastAsia"/>
              <w:b/>
              <w:sz w:val="40"/>
              <w:szCs w:val="40"/>
              <w:lang w:eastAsia="zh-CN"/>
            </w:rPr>
            <w:t>NXR-1800中继台产品规格书</w:t>
          </w:r>
        </w:p>
      </w:sdtContent>
    </w:sdt>
    <w:p>
      <w:pPr>
        <w:rPr>
          <w:rFonts w:hint="eastAsia"/>
          <w:b/>
          <w:sz w:val="40"/>
          <w:szCs w:val="40"/>
          <w:lang w:val="en-US" w:eastAsia="zh-CN"/>
        </w:rPr>
      </w:pPr>
    </w:p>
    <w:tbl>
      <w:tblPr>
        <w:tblStyle w:val="8"/>
        <w:tblW w:w="9177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193"/>
        <w:gridCol w:w="1193"/>
        <w:gridCol w:w="1834"/>
        <w:gridCol w:w="3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版本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日期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作者</w:t>
            </w: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审核者</w:t>
            </w:r>
          </w:p>
        </w:tc>
        <w:tc>
          <w:tcPr>
            <w:tcW w:w="3865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V1.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202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3.2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kenwus</w:t>
            </w: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865" w:type="dxa"/>
            <w:vAlign w:val="center"/>
          </w:tcPr>
          <w:p>
            <w:pPr>
              <w:widowControl/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基线文档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版权所有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日本JVC建伍株式会社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保留所有权利</w:t>
      </w: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版权声明：</w:t>
      </w: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本文档著作权由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日本JVC建伍株式会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享有。</w:t>
      </w: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本文档中的信息随着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KENWOOD建伍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产品和技术的进步将不断更新。由于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JVC KENWOOD集团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技术的不断发展，以上指标数据若有变更，以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KENWOOD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的新发布资料为准，恕不另行通知。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LTR®是Transcrypt International公司的注册的商标。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AMBE+2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™</w:t>
      </w:r>
      <w:r>
        <w:rPr>
          <w:rFonts w:hint="eastAsia" w:ascii="宋体" w:hAnsi="宋体" w:eastAsia="宋体" w:cs="宋体"/>
          <w:sz w:val="18"/>
          <w:szCs w:val="18"/>
        </w:rPr>
        <w:t>是Digital Voice Systems Inc.的注册商标。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NEXEDGE®是JVC建伍株式会社的注册商标。</w:t>
      </w:r>
    </w:p>
    <w:sdt>
      <w:sdtPr>
        <w:rPr>
          <w:rFonts w:asciiTheme="minorHAnsi" w:hAnsiTheme="minorHAnsi" w:eastAsiaTheme="minorEastAsia" w:cstheme="minorBidi"/>
          <w:b w:val="0"/>
          <w:spacing w:val="0"/>
          <w:kern w:val="2"/>
          <w:sz w:val="21"/>
          <w:szCs w:val="22"/>
        </w:rPr>
        <w:id w:val="877760"/>
      </w:sdtPr>
      <w:sdtEndPr>
        <w:rPr>
          <w:rFonts w:ascii="Arial" w:hAnsi="Arial" w:eastAsia="宋体" w:cstheme="minorBidi"/>
          <w:b w:val="0"/>
          <w:spacing w:val="0"/>
          <w:kern w:val="0"/>
          <w:sz w:val="21"/>
          <w:szCs w:val="22"/>
        </w:rPr>
      </w:sdtEndPr>
      <w:sdtContent>
        <w:p>
          <w:pPr>
            <w:pStyle w:val="12"/>
            <w:outlineLvl w:val="9"/>
          </w:pPr>
          <w:r>
            <w:t>目录</w:t>
          </w:r>
        </w:p>
        <w:p>
          <w:pPr>
            <w:pStyle w:val="5"/>
            <w:tabs>
              <w:tab w:val="right" w:leader="dot" w:pos="9072"/>
              <w:tab w:val="clear" w:pos="420"/>
              <w:tab w:val="clear" w:pos="567"/>
              <w:tab w:val="clear" w:pos="8789"/>
              <w:tab w:val="clear" w:pos="9062"/>
            </w:tabs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r>
            <w:fldChar w:fldCharType="begin"/>
          </w:r>
          <w:r>
            <w:instrText xml:space="preserve"> HYPERLINK \l _Toc26484 </w:instrText>
          </w:r>
          <w:r>
            <w:fldChar w:fldCharType="separate"/>
          </w:r>
          <w:r>
            <w:t xml:space="preserve">1 </w:t>
          </w:r>
          <w:r>
            <w:rPr>
              <w:rFonts w:hint="eastAsia"/>
              <w:lang w:eastAsia="zh-CN"/>
            </w:rPr>
            <w:t>产品外观</w:t>
          </w:r>
          <w:r>
            <w:tab/>
          </w:r>
          <w:r>
            <w:fldChar w:fldCharType="begin"/>
          </w:r>
          <w:r>
            <w:instrText xml:space="preserve"> PAGEREF _Toc26484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072"/>
              <w:tab w:val="clear" w:pos="420"/>
              <w:tab w:val="clear" w:pos="567"/>
              <w:tab w:val="clear" w:pos="8789"/>
              <w:tab w:val="clear" w:pos="9062"/>
            </w:tabs>
          </w:pPr>
          <w:r>
            <w:fldChar w:fldCharType="begin"/>
          </w:r>
          <w:r>
            <w:instrText xml:space="preserve"> HYPERLINK \l _Toc14348 </w:instrText>
          </w:r>
          <w:r>
            <w:fldChar w:fldCharType="separate"/>
          </w:r>
          <w:r>
            <w:rPr>
              <w:rFonts w:hint="eastAsia"/>
              <w:lang w:eastAsia="zh-CN"/>
            </w:rPr>
            <w:t>2 产品特点</w:t>
          </w:r>
          <w:r>
            <w:tab/>
          </w:r>
          <w:r>
            <w:fldChar w:fldCharType="begin"/>
          </w:r>
          <w:r>
            <w:instrText xml:space="preserve"> PAGEREF _Toc14348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072"/>
              <w:tab w:val="clear" w:pos="420"/>
              <w:tab w:val="clear" w:pos="567"/>
              <w:tab w:val="clear" w:pos="8789"/>
              <w:tab w:val="clear" w:pos="9062"/>
            </w:tabs>
            <w:rPr>
              <w:rFonts w:hint="eastAsia" w:eastAsiaTheme="minorEastAsia"/>
              <w:lang w:val="en-US" w:eastAsia="zh-CN"/>
            </w:rPr>
          </w:pPr>
          <w:r>
            <w:fldChar w:fldCharType="begin"/>
          </w:r>
          <w:r>
            <w:instrText xml:space="preserve"> HYPERLINK \l _Toc9930 </w:instrText>
          </w:r>
          <w:r>
            <w:fldChar w:fldCharType="separate"/>
          </w:r>
          <w:r>
            <w:rPr>
              <w:rFonts w:hint="eastAsia"/>
              <w:lang w:eastAsia="zh-CN"/>
            </w:rPr>
            <w:t>3 产品</w:t>
          </w:r>
          <w:r>
            <w:rPr>
              <w:rFonts w:hint="eastAsia"/>
              <w:lang w:val="en-US" w:eastAsia="zh-CN"/>
            </w:rPr>
            <w:t>标准技术规格</w:t>
          </w:r>
          <w:r>
            <w:tab/>
          </w:r>
          <w:r>
            <w:fldChar w:fldCharType="end"/>
          </w:r>
          <w:r>
            <w:rPr>
              <w:rFonts w:hint="eastAsia"/>
              <w:lang w:val="en-US" w:eastAsia="zh-CN"/>
            </w:rPr>
            <w:t>7</w:t>
          </w:r>
        </w:p>
        <w:p>
          <w:pPr>
            <w:rPr>
              <w:rFonts w:ascii="Arial" w:hAnsi="Arial" w:eastAsia="宋体" w:cstheme="minorBidi"/>
              <w:b w:val="0"/>
              <w:spacing w:val="0"/>
              <w:kern w:val="0"/>
              <w:sz w:val="21"/>
              <w:szCs w:val="22"/>
            </w:rPr>
          </w:pPr>
          <w:r>
            <w:fldChar w:fldCharType="end"/>
          </w:r>
        </w:p>
      </w:sdtContent>
    </w:sdt>
    <w:p>
      <w:pPr>
        <w:rPr>
          <w:rFonts w:ascii="Arial" w:hAnsi="Arial" w:eastAsia="宋体" w:cstheme="minorBidi"/>
          <w:b w:val="0"/>
          <w:spacing w:val="0"/>
          <w:kern w:val="0"/>
          <w:sz w:val="21"/>
          <w:szCs w:val="22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pStyle w:val="2"/>
        <w:bidi w:val="0"/>
        <w:ind w:left="0" w:leftChars="0" w:firstLine="0" w:firstLineChars="0"/>
        <w:rPr>
          <w:rFonts w:hint="eastAsia"/>
          <w:lang w:eastAsia="zh-CN"/>
        </w:rPr>
      </w:pPr>
      <w:bookmarkStart w:id="0" w:name="_Toc26484"/>
      <w:r>
        <w:rPr>
          <w:rFonts w:hint="eastAsia"/>
          <w:lang w:eastAsia="zh-CN"/>
        </w:rPr>
        <w:t>产品外观</w:t>
      </w:r>
      <w:bookmarkEnd w:id="0"/>
    </w:p>
    <w:p/>
    <w:p>
      <w:r>
        <w:rPr>
          <w:rFonts w:hint="eastAsia"/>
          <w:lang w:val="en-US" w:eastAsia="zh-CN"/>
        </w:rPr>
        <w:t xml:space="preserve">                         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79420"/>
            <wp:effectExtent l="0" t="0" r="0" b="5080"/>
            <wp:docPr id="2" name="图片 2" descr="第1页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1页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617980"/>
            <wp:effectExtent l="0" t="0" r="6985" b="7620"/>
            <wp:docPr id="8" name="图片 8" descr="NXR1K_FRT_LCD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XR1K_FRT_LCD-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pStyle w:val="2"/>
        <w:bidi w:val="0"/>
        <w:ind w:left="0" w:leftChars="0" w:firstLine="0" w:firstLineChars="0"/>
        <w:rPr>
          <w:rFonts w:hint="eastAsia"/>
          <w:lang w:eastAsia="zh-CN"/>
        </w:rPr>
      </w:pPr>
      <w:bookmarkStart w:id="1" w:name="_Toc14348"/>
      <w:r>
        <w:rPr>
          <w:rFonts w:hint="eastAsia"/>
          <w:lang w:eastAsia="zh-CN"/>
        </w:rPr>
        <w:t>产品特点</w:t>
      </w:r>
      <w:bookmarkEnd w:id="1"/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一般特征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1–50W输出功率可调（50W@50%, 25 W@100%占空比）；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轻巧、紧凑、19英寸1U机架中可安装2个中继器；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1.71英寸超大OLED，具有图标和数字显示；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自动热量控制冷却风扇；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外置式电源；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信道数：32个；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数字协议：支持DMR / NXDN双协议；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前置USB接口；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后置DB25外部开发接口；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支持模拟和数字多种模式；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支持系统冗余热备配置；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内置IP网络适配器；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支持多播路由架构；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SIP电话功能；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支持IP远程管理（监控/控制/编程/测试控制台）；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支持IP控制台、OTAP等功能；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增强的安全性（HTTPS）；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发射计时器；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支持多站点IP互联，多达16个站点（数字和模拟）；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投票中继器+多达15个分级接收器；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IP网络与NXR-710/810和TKR-D710/D810系列兼容中继器（能够作为现场现有数字传统系统的一部分进行交换/添加）；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数字–通用</w:t>
      </w:r>
      <w:bookmarkStart w:id="3" w:name="_GoBack"/>
      <w:bookmarkEnd w:id="3"/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内置AMBE+2™ 声码器；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模拟/数字混合操作；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使用信标进行站点漫游；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支持无线链路：NXDN / DMR；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多重加密语音/数据（AES/DES/DMR增强加密）；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用户列表/站点组表；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无线电接入许可限制；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数字–NXDN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FDMA–6.25 kHz和12.5 kHz；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</w:rPr>
      </w:pPr>
      <w:r>
        <w:rPr>
          <w:rFonts w:hint="eastAsia" w:ascii="Arial" w:hAnsi="Arial" w:eastAsia="宋体"/>
          <w:szCs w:val="22"/>
          <w:lang w:val="en-US" w:eastAsia="zh-CN"/>
        </w:rPr>
        <w:t>NXDN数字常规；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default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数字–DMR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TDMA双时隙12.5 kHz带宽；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DMR II级数字常规；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支持通话中断；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模拟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FM常规模式；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支持多个QT/DQT编解码设置；</w:t>
      </w:r>
    </w:p>
    <w:p>
      <w:pPr>
        <w:pStyle w:val="13"/>
        <w:numPr>
          <w:ilvl w:val="0"/>
          <w:numId w:val="0"/>
        </w:numPr>
        <w:ind w:left="840" w:leftChars="0"/>
        <w:jc w:val="both"/>
        <w:rPr>
          <w:rFonts w:hint="default" w:ascii="Arial" w:hAnsi="Arial" w:eastAsia="宋体"/>
          <w:szCs w:val="22"/>
          <w:lang w:val="en-US"/>
        </w:rPr>
      </w:pPr>
    </w:p>
    <w:p>
      <w:pPr>
        <w:pStyle w:val="13"/>
        <w:numPr>
          <w:ilvl w:val="0"/>
          <w:numId w:val="0"/>
        </w:numPr>
        <w:ind w:left="840" w:leftChars="0"/>
        <w:jc w:val="both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  <w:lang w:eastAsia="zh-CN"/>
        </w:rPr>
      </w:pPr>
      <w:r>
        <w:rPr>
          <w:rFonts w:hint="eastAsia" w:ascii="Arial" w:hAnsi="Arial" w:eastAsia="宋体"/>
          <w:szCs w:val="22"/>
          <w:lang w:eastAsia="zh-CN"/>
        </w:rPr>
        <w:drawing>
          <wp:inline distT="0" distB="0" distL="114300" distR="114300">
            <wp:extent cx="3860800" cy="1244600"/>
            <wp:effectExtent l="0" t="0" r="0" b="0"/>
            <wp:docPr id="5" name="图片 5" descr="第2页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2页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  <w:t>信息型前OLED显示器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前面板上的大型OLED显示器能够显示以下信息：MAC/IP地址、RSSI/TX电源设置图标、频道号/名称、射频频率以及固件/ESN/许可证/错误信息和其他状态。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  <w:lang w:eastAsia="zh-CN"/>
        </w:rPr>
      </w:pPr>
      <w:r>
        <w:rPr>
          <w:rFonts w:hint="eastAsia" w:ascii="Arial" w:hAnsi="Arial" w:eastAsia="宋体"/>
          <w:szCs w:val="22"/>
          <w:lang w:eastAsia="zh-CN"/>
        </w:rPr>
        <w:drawing>
          <wp:inline distT="0" distB="0" distL="114300" distR="114300">
            <wp:extent cx="4413250" cy="1587500"/>
            <wp:effectExtent l="0" t="0" r="6350" b="0"/>
            <wp:docPr id="6" name="图片 6" descr="第2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页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  <w:t>与传统中继器的尺寸比较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即使与NXR-710和TKR-D710中继器相比，容量也可以减少。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  <w:lang w:eastAsia="zh-CN"/>
        </w:rPr>
      </w:pPr>
      <w:r>
        <w:rPr>
          <w:rFonts w:hint="eastAsia" w:ascii="Arial" w:hAnsi="Arial" w:eastAsia="宋体"/>
          <w:szCs w:val="22"/>
          <w:lang w:eastAsia="zh-CN"/>
        </w:rPr>
        <w:drawing>
          <wp:inline distT="0" distB="0" distL="114300" distR="114300">
            <wp:extent cx="4413250" cy="1200150"/>
            <wp:effectExtent l="0" t="0" r="6350" b="6350"/>
            <wp:docPr id="7" name="图片 7" descr="第2页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2页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与NXR-</w:t>
      </w:r>
      <w:r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  <w:t>5700/5800</w:t>
      </w: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系列型号相比，NXR-1000系列转发器只需要</w:t>
      </w:r>
      <w:r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  <w:t>二</w:t>
      </w: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分之一的机架空间。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此外，NXR-1000系列转发器仅占用19英寸宽的其他1U转发器的一半机架空间。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pStyle w:val="2"/>
        <w:rPr>
          <w:rFonts w:hint="eastAsia"/>
          <w:lang w:eastAsia="zh-CN"/>
        </w:rPr>
      </w:pPr>
      <w:bookmarkStart w:id="2" w:name="_Toc9930"/>
      <w:r>
        <w:rPr>
          <w:rFonts w:hint="eastAsia"/>
          <w:lang w:val="en-US" w:eastAsia="zh-CN"/>
        </w:rPr>
        <w:t>产品标准技术</w:t>
      </w:r>
      <w:r>
        <w:rPr>
          <w:rFonts w:hint="eastAsia"/>
          <w:lang w:eastAsia="zh-CN"/>
        </w:rPr>
        <w:t>规格</w:t>
      </w:r>
      <w:bookmarkEnd w:id="2"/>
    </w:p>
    <w:tbl>
      <w:tblPr>
        <w:tblStyle w:val="8"/>
        <w:tblW w:w="863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2225"/>
        <w:gridCol w:w="50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6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一般规格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频率范围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400-470MHz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信道数量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信道间隔 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模拟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12.5kHz/25kHz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6.25kHz/12.5kHz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频率稳定度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±0.5ppm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工作电源电压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10.8V-15.6V DC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电流消耗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守候时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发射时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12.0 A（高功率），9.0 A（25 W）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工作温度范围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- 30～+60℃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天线阻抗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外形尺寸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242.9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重量（净重）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接收机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36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接收灵敏度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DMR 5%误码率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DMR 1%误码率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NXDN 3%误码率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12.5kHz/6.25kHz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0.25/0.20μV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模拟12dBSINAD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邻道选择性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模拟25kHz/12.5kHz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83dB/77dB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互调 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杂散响应 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86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发射机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发射功率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1-50W（50%负载时为50 W，100%负载时为25 W）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杂散发射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-80 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调频噪声 (模拟)  25kHz/12.5kHz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55/ 50dB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调制失真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数字协议（DMR）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ETSI TS 102 361-1, -2, 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电波类型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16K0F3E, 11K0F3E, 7K60FXD, 7K60F7D,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7K60FXE, 7K60F7E, 7K60FXW, 7K60F7W,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8K30F1E, 8K30F1D, 8K30F7W, 4K00F1E,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4K00F1D, 4K00F7W, 4K00F2D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依据EN标准或TIA/EIA-603获得的模拟测量值和所示规格均为典型值。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由于技术不断地发展，以上数据有可能变更，恕不预先通知。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8280"/>
      </w:tabs>
      <w:spacing w:line="180" w:lineRule="exact"/>
      <w:ind w:right="360"/>
      <w:rPr>
        <w:rFonts w:hint="eastAsia" w:ascii="楷体_GB2312" w:eastAsia="楷体_GB2312"/>
      </w:rPr>
    </w:pPr>
    <w:r>
      <w:rPr>
        <w:rStyle w:val="11"/>
        <w:rFonts w:hint="eastAsia" w:ascii="楷体_GB2312" w:eastAsia="楷体_GB2312"/>
      </w:rPr>
      <w:t>版权所有</w:t>
    </w:r>
    <w:r>
      <w:rPr>
        <w:rStyle w:val="11"/>
        <w:rFonts w:hint="eastAsia" w:eastAsia="楷体_GB2312"/>
      </w:rPr>
      <w:t>©</w:t>
    </w:r>
    <w:r>
      <w:rPr>
        <w:rStyle w:val="11"/>
        <w:rFonts w:hint="eastAsia" w:ascii="楷体_GB2312" w:eastAsia="楷体_GB2312"/>
      </w:rPr>
      <w:t xml:space="preserve"> </w:t>
    </w:r>
    <w:r>
      <w:rPr>
        <w:rFonts w:hint="eastAsia" w:ascii="楷体_GB2312" w:eastAsia="楷体_GB2312"/>
      </w:rPr>
      <w:fldChar w:fldCharType="begin"/>
    </w:r>
    <w:r>
      <w:rPr>
        <w:rStyle w:val="11"/>
        <w:rFonts w:hint="eastAsia" w:ascii="楷体_GB2312" w:eastAsia="楷体_GB2312"/>
      </w:rPr>
      <w:instrText xml:space="preserve"> DATE \@ "yyyy" </w:instrText>
    </w:r>
    <w:r>
      <w:rPr>
        <w:rFonts w:hint="eastAsia" w:ascii="楷体_GB2312" w:eastAsia="楷体_GB2312"/>
      </w:rPr>
      <w:fldChar w:fldCharType="separate"/>
    </w:r>
    <w:r>
      <w:rPr>
        <w:rStyle w:val="11"/>
        <w:rFonts w:hint="eastAsia" w:ascii="楷体_GB2312" w:eastAsia="楷体_GB2312"/>
      </w:rPr>
      <w:t>2023</w:t>
    </w:r>
    <w:r>
      <w:rPr>
        <w:rFonts w:hint="eastAsia" w:ascii="楷体_GB2312" w:eastAsia="楷体_GB2312"/>
      </w:rPr>
      <w:fldChar w:fldCharType="end"/>
    </w:r>
    <w:r>
      <w:rPr>
        <w:rStyle w:val="11"/>
        <w:rFonts w:hint="eastAsia" w:ascii="楷体_GB2312" w:eastAsia="楷体_GB2312"/>
      </w:rPr>
      <w:t xml:space="preserve"> www.kenwood.com</w:t>
    </w:r>
    <w:r>
      <w:rPr>
        <w:rFonts w:hint="eastAsia" w:ascii="楷体_GB2312" w:eastAsia="楷体_GB2312"/>
      </w:rPr>
      <w:t xml:space="preserve">                                                                             </w:t>
    </w:r>
  </w:p>
  <w:p>
    <w:pPr>
      <w:pStyle w:val="6"/>
      <w:spacing w:line="180" w:lineRule="exact"/>
    </w:pPr>
    <w:r>
      <w:rPr>
        <w:rStyle w:val="11"/>
        <w:rFonts w:hint="eastAsia" w:ascii="楷体_GB2312" w:eastAsia="楷体_GB2312"/>
      </w:rPr>
      <w:t>内部保密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right"/>
    </w:pPr>
    <w:r>
      <w:rPr>
        <w:u w:val="none"/>
      </w:rPr>
      <w:drawing>
        <wp:inline distT="0" distB="0" distL="114300" distR="114300">
          <wp:extent cx="1390015" cy="315595"/>
          <wp:effectExtent l="0" t="0" r="6985" b="190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01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C37D45"/>
    <w:multiLevelType w:val="multilevel"/>
    <w:tmpl w:val="3CC37D4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4421996"/>
    <w:multiLevelType w:val="multilevel"/>
    <w:tmpl w:val="64421996"/>
    <w:lvl w:ilvl="0" w:tentative="0">
      <w:start w:val="1"/>
      <w:numFmt w:val="decimal"/>
      <w:pStyle w:val="2"/>
      <w:lvlText w:val="%1"/>
      <w:lvlJc w:val="left"/>
    </w:lvl>
    <w:lvl w:ilvl="1" w:tentative="0">
      <w:start w:val="1"/>
      <w:numFmt w:val="decimal"/>
      <w:lvlText w:val="%1.%2"/>
      <w:lvlJc w:val="left"/>
    </w:lvl>
    <w:lvl w:ilvl="2" w:tentative="0">
      <w:start w:val="1"/>
      <w:numFmt w:val="decimal"/>
      <w:lvlText w:val="%1.%2.%3"/>
      <w:lvlJc w:val="left"/>
      <w:rPr>
        <w:rFonts w:hint="default" w:ascii="Arial" w:hAnsi="Arial" w:cs="Arial"/>
      </w:rPr>
    </w:lvl>
    <w:lvl w:ilvl="3" w:tentative="0">
      <w:start w:val="1"/>
      <w:numFmt w:val="decimal"/>
      <w:lvlText w:val="%1.%2.%3.%4"/>
      <w:lvlJc w:val="left"/>
    </w:lvl>
    <w:lvl w:ilvl="4" w:tentative="0">
      <w:start w:val="1"/>
      <w:numFmt w:val="decimal"/>
      <w:lvlText w:val="%1.%2.%3.%4.%5"/>
      <w:lvlJc w:val="left"/>
    </w:lvl>
    <w:lvl w:ilvl="5" w:tentative="0">
      <w:start w:val="1"/>
      <w:numFmt w:val="decimal"/>
      <w:lvlText w:val="%1.%2.%3.%4.%5.%6"/>
      <w:lvlJc w:val="left"/>
    </w:lvl>
    <w:lvl w:ilvl="6" w:tentative="0">
      <w:start w:val="1"/>
      <w:numFmt w:val="decimal"/>
      <w:lvlText w:val="%1.%2.%3.%4.%5.%6.%7"/>
      <w:lvlJc w:val="left"/>
    </w:lvl>
    <w:lvl w:ilvl="7" w:tentative="0">
      <w:start w:val="1"/>
      <w:numFmt w:val="decimal"/>
      <w:lvlText w:val="%1.%2.%3.%4.%5.%6.%7.%8"/>
      <w:lvlJc w:val="left"/>
    </w:lvl>
    <w:lvl w:ilvl="8" w:tentative="0">
      <w:start w:val="1"/>
      <w:numFmt w:val="decimal"/>
      <w:lvlText w:val="%1.%2.%3.%4.%5.%6.%7.%8.%9"/>
      <w:lvlJc w:val="left"/>
    </w:lvl>
  </w:abstractNum>
  <w:abstractNum w:abstractNumId="2">
    <w:nsid w:val="7580A2F1"/>
    <w:multiLevelType w:val="multilevel"/>
    <w:tmpl w:val="7580A2F1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68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210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52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94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336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78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420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6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jNTJiZmZlN2QxMTJmYTM2ZTkwMWU2NTFiOTUzY2YifQ=="/>
  </w:docVars>
  <w:rsids>
    <w:rsidRoot w:val="00000000"/>
    <w:rsid w:val="00DE2DDD"/>
    <w:rsid w:val="017512B4"/>
    <w:rsid w:val="043833BC"/>
    <w:rsid w:val="05243941"/>
    <w:rsid w:val="05FE23E4"/>
    <w:rsid w:val="07C75183"/>
    <w:rsid w:val="08F71A98"/>
    <w:rsid w:val="092D54BA"/>
    <w:rsid w:val="0A6F4382"/>
    <w:rsid w:val="0A801619"/>
    <w:rsid w:val="0B1861E2"/>
    <w:rsid w:val="0B352404"/>
    <w:rsid w:val="0C1069CD"/>
    <w:rsid w:val="0F8910A9"/>
    <w:rsid w:val="111425F0"/>
    <w:rsid w:val="11CA419E"/>
    <w:rsid w:val="145D3689"/>
    <w:rsid w:val="155C2C83"/>
    <w:rsid w:val="15E4785B"/>
    <w:rsid w:val="163C6D3C"/>
    <w:rsid w:val="16B32D77"/>
    <w:rsid w:val="16E11692"/>
    <w:rsid w:val="16E66D61"/>
    <w:rsid w:val="1A48143E"/>
    <w:rsid w:val="1A7B3BAB"/>
    <w:rsid w:val="1AB570BD"/>
    <w:rsid w:val="1C36219D"/>
    <w:rsid w:val="1DD2442A"/>
    <w:rsid w:val="1E94348E"/>
    <w:rsid w:val="1FA932E3"/>
    <w:rsid w:val="1FB92A8D"/>
    <w:rsid w:val="2079293B"/>
    <w:rsid w:val="209459C7"/>
    <w:rsid w:val="21294361"/>
    <w:rsid w:val="21AD6D40"/>
    <w:rsid w:val="21CE6CB6"/>
    <w:rsid w:val="22BD7457"/>
    <w:rsid w:val="23AC53CD"/>
    <w:rsid w:val="243E6375"/>
    <w:rsid w:val="25900E53"/>
    <w:rsid w:val="272555CB"/>
    <w:rsid w:val="275B0FEC"/>
    <w:rsid w:val="27CC3C98"/>
    <w:rsid w:val="29C10D80"/>
    <w:rsid w:val="2AF73935"/>
    <w:rsid w:val="2B9E594C"/>
    <w:rsid w:val="2C574478"/>
    <w:rsid w:val="2E0A551A"/>
    <w:rsid w:val="30BC2D8B"/>
    <w:rsid w:val="311A5FF2"/>
    <w:rsid w:val="31777D04"/>
    <w:rsid w:val="31C75BFC"/>
    <w:rsid w:val="320F6A40"/>
    <w:rsid w:val="32607E4C"/>
    <w:rsid w:val="33313908"/>
    <w:rsid w:val="336D632F"/>
    <w:rsid w:val="34080E52"/>
    <w:rsid w:val="36743E79"/>
    <w:rsid w:val="36986E6B"/>
    <w:rsid w:val="36B1347B"/>
    <w:rsid w:val="37385DE2"/>
    <w:rsid w:val="377F2724"/>
    <w:rsid w:val="378325C5"/>
    <w:rsid w:val="3831701C"/>
    <w:rsid w:val="383C7CBE"/>
    <w:rsid w:val="39FC665F"/>
    <w:rsid w:val="3AA953A4"/>
    <w:rsid w:val="3B09041B"/>
    <w:rsid w:val="3C522566"/>
    <w:rsid w:val="3CF03B2D"/>
    <w:rsid w:val="3D532A3A"/>
    <w:rsid w:val="3D5F13DF"/>
    <w:rsid w:val="3D601A89"/>
    <w:rsid w:val="3DF37D79"/>
    <w:rsid w:val="3EB412B6"/>
    <w:rsid w:val="3F514D57"/>
    <w:rsid w:val="42115651"/>
    <w:rsid w:val="448422C5"/>
    <w:rsid w:val="44E977E0"/>
    <w:rsid w:val="48022966"/>
    <w:rsid w:val="488717E9"/>
    <w:rsid w:val="48C52312"/>
    <w:rsid w:val="48EB7FCA"/>
    <w:rsid w:val="4A4756D4"/>
    <w:rsid w:val="4A4B1C48"/>
    <w:rsid w:val="4A53205B"/>
    <w:rsid w:val="4B180E1F"/>
    <w:rsid w:val="4C082C41"/>
    <w:rsid w:val="4C1C493F"/>
    <w:rsid w:val="4D2C6E03"/>
    <w:rsid w:val="4E8D61CF"/>
    <w:rsid w:val="4EAF439C"/>
    <w:rsid w:val="4F075432"/>
    <w:rsid w:val="4F6F4D85"/>
    <w:rsid w:val="4FED4628"/>
    <w:rsid w:val="50267B3A"/>
    <w:rsid w:val="506A1680"/>
    <w:rsid w:val="50AD6BE4"/>
    <w:rsid w:val="516A22CE"/>
    <w:rsid w:val="51E90E1F"/>
    <w:rsid w:val="53051C89"/>
    <w:rsid w:val="531445C2"/>
    <w:rsid w:val="53397B84"/>
    <w:rsid w:val="54817A35"/>
    <w:rsid w:val="55007ECC"/>
    <w:rsid w:val="55D01046"/>
    <w:rsid w:val="56876E58"/>
    <w:rsid w:val="56D66003"/>
    <w:rsid w:val="577556CB"/>
    <w:rsid w:val="587632DC"/>
    <w:rsid w:val="58885441"/>
    <w:rsid w:val="589A10C5"/>
    <w:rsid w:val="58E40592"/>
    <w:rsid w:val="58EF4070"/>
    <w:rsid w:val="596A4F3B"/>
    <w:rsid w:val="5B0A49B8"/>
    <w:rsid w:val="5B0D4D70"/>
    <w:rsid w:val="5B7756EE"/>
    <w:rsid w:val="5D7A7717"/>
    <w:rsid w:val="5D9933F8"/>
    <w:rsid w:val="5E624433"/>
    <w:rsid w:val="603F4D07"/>
    <w:rsid w:val="611F485D"/>
    <w:rsid w:val="613025C6"/>
    <w:rsid w:val="61AD3208"/>
    <w:rsid w:val="621C0D9D"/>
    <w:rsid w:val="627B5AC3"/>
    <w:rsid w:val="62BB2364"/>
    <w:rsid w:val="63612F0B"/>
    <w:rsid w:val="63AB4186"/>
    <w:rsid w:val="65226971"/>
    <w:rsid w:val="65B5753E"/>
    <w:rsid w:val="65E322FD"/>
    <w:rsid w:val="675608AD"/>
    <w:rsid w:val="6803642F"/>
    <w:rsid w:val="69DA174D"/>
    <w:rsid w:val="69E71C90"/>
    <w:rsid w:val="69E91EAC"/>
    <w:rsid w:val="6ADD44FB"/>
    <w:rsid w:val="6B480E55"/>
    <w:rsid w:val="6CE10C19"/>
    <w:rsid w:val="6D102A05"/>
    <w:rsid w:val="6D260D22"/>
    <w:rsid w:val="6DFE57FA"/>
    <w:rsid w:val="6E1D0F49"/>
    <w:rsid w:val="6EC72405"/>
    <w:rsid w:val="6ED27944"/>
    <w:rsid w:val="6F9208F0"/>
    <w:rsid w:val="70217FA0"/>
    <w:rsid w:val="712D50B1"/>
    <w:rsid w:val="71597917"/>
    <w:rsid w:val="71F6772B"/>
    <w:rsid w:val="726B39D4"/>
    <w:rsid w:val="729A7CBB"/>
    <w:rsid w:val="72A526E9"/>
    <w:rsid w:val="72DA0AC8"/>
    <w:rsid w:val="72DC58F8"/>
    <w:rsid w:val="73AF381F"/>
    <w:rsid w:val="740202D4"/>
    <w:rsid w:val="752A2293"/>
    <w:rsid w:val="77277E53"/>
    <w:rsid w:val="775C1F10"/>
    <w:rsid w:val="779A6594"/>
    <w:rsid w:val="77D777E8"/>
    <w:rsid w:val="79224A93"/>
    <w:rsid w:val="79A03FCF"/>
    <w:rsid w:val="7C413482"/>
    <w:rsid w:val="7C5E16DD"/>
    <w:rsid w:val="7C9C6FC2"/>
    <w:rsid w:val="7DC01256"/>
    <w:rsid w:val="7E84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numPr>
        <w:ilvl w:val="0"/>
        <w:numId w:val="1"/>
      </w:numPr>
      <w:spacing w:before="480" w:line="288" w:lineRule="auto"/>
      <w:ind w:left="1247" w:hanging="1247"/>
      <w:jc w:val="both"/>
      <w:outlineLvl w:val="0"/>
    </w:pPr>
    <w:rPr>
      <w:rFonts w:ascii="Arial" w:hAnsi="Arial" w:eastAsia="宋体" w:cstheme="minorBidi"/>
      <w:b/>
      <w:bCs/>
      <w:kern w:val="44"/>
      <w:sz w:val="36"/>
      <w:szCs w:val="4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4"/>
    <w:next w:val="1"/>
    <w:unhideWhenUsed/>
    <w:qFormat/>
    <w:uiPriority w:val="39"/>
    <w:pPr>
      <w:tabs>
        <w:tab w:val="left" w:pos="420"/>
        <w:tab w:val="left" w:pos="567"/>
        <w:tab w:val="left" w:pos="1134"/>
        <w:tab w:val="left" w:pos="1777"/>
        <w:tab w:val="right" w:leader="dot" w:pos="8789"/>
        <w:tab w:val="right" w:leader="dot" w:pos="9062"/>
      </w:tabs>
      <w:ind w:left="1701" w:right="34" w:hanging="567"/>
    </w:pPr>
  </w:style>
  <w:style w:type="paragraph" w:styleId="4">
    <w:name w:val="toc 2"/>
    <w:basedOn w:val="5"/>
    <w:next w:val="1"/>
    <w:unhideWhenUsed/>
    <w:qFormat/>
    <w:uiPriority w:val="39"/>
    <w:pPr>
      <w:tabs>
        <w:tab w:val="left" w:pos="420"/>
        <w:tab w:val="left" w:pos="567"/>
        <w:tab w:val="left" w:pos="1134"/>
        <w:tab w:val="right" w:leader="dot" w:pos="8789"/>
        <w:tab w:val="right" w:leader="dot" w:pos="9062"/>
      </w:tabs>
      <w:spacing w:before="120"/>
      <w:ind w:left="1276" w:right="907" w:hanging="709"/>
    </w:pPr>
    <w:rPr>
      <w:b w:val="0"/>
    </w:rPr>
  </w:style>
  <w:style w:type="paragraph" w:styleId="5">
    <w:name w:val="toc 1"/>
    <w:basedOn w:val="1"/>
    <w:next w:val="4"/>
    <w:unhideWhenUsed/>
    <w:qFormat/>
    <w:uiPriority w:val="39"/>
    <w:pPr>
      <w:keepNext/>
      <w:widowControl/>
      <w:tabs>
        <w:tab w:val="left" w:pos="420"/>
        <w:tab w:val="left" w:pos="567"/>
        <w:tab w:val="right" w:leader="dot" w:pos="8789"/>
        <w:tab w:val="right" w:leader="dot" w:pos="9062"/>
      </w:tabs>
      <w:spacing w:before="360"/>
      <w:ind w:left="567" w:right="34" w:hanging="425"/>
      <w:jc w:val="left"/>
    </w:pPr>
    <w:rPr>
      <w:b/>
      <w:kern w:val="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paragraph" w:customStyle="1" w:styleId="12">
    <w:name w:val="TOC Heading"/>
    <w:basedOn w:val="1"/>
    <w:unhideWhenUsed/>
    <w:qFormat/>
    <w:uiPriority w:val="39"/>
    <w:pPr>
      <w:keepNext/>
      <w:widowControl/>
      <w:spacing w:before="840" w:after="240"/>
      <w:jc w:val="left"/>
    </w:pPr>
    <w:rPr>
      <w:rFonts w:cstheme="majorBidi"/>
      <w:b/>
      <w:spacing w:val="10"/>
      <w:kern w:val="20"/>
      <w:sz w:val="40"/>
      <w:szCs w:val="2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1115</Words>
  <Characters>1747</Characters>
  <Lines>0</Lines>
  <Paragraphs>0</Paragraphs>
  <TotalTime>5</TotalTime>
  <ScaleCrop>false</ScaleCrop>
  <LinksUpToDate>false</LinksUpToDate>
  <CharactersWithSpaces>1839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2022-12-09T08:53:00Z</dcterms:created>
  <dc:creator>上海汉界通信工程有限公司</dc:creator>
  <cp:lastModifiedBy>无线对讲系统-徐工13918677771</cp:lastModifiedBy>
  <dcterms:modified xsi:type="dcterms:W3CDTF">2023-05-01T10:56:57Z</dcterms:modified>
  <dc:title>NXR-1800中继台产品规格书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A173627EB58C4F35ABE33FBE9DB0A2D3</vt:lpwstr>
  </property>
</Properties>
</file>