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NXR-5800 K6  350MHz数字集群中继台产品规格书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NXR-5800 K6  350MHz数字集群中继台产品规格书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LTR®是Transcrypt International公司的注册的商标。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™</w:t>
      </w:r>
      <w:r>
        <w:rPr>
          <w:rFonts w:hint="eastAsia" w:ascii="宋体" w:hAnsi="宋体" w:eastAsia="宋体" w:cs="宋体"/>
          <w:sz w:val="18"/>
          <w:szCs w:val="18"/>
        </w:rPr>
        <w:t>是Digital Voice Systems Inc.的注册商标。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7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089660"/>
            <wp:effectExtent l="0" t="0" r="635" b="2540"/>
            <wp:docPr id="2" name="图片 2" descr="168347142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3471429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267460"/>
            <wp:effectExtent l="0" t="0" r="0" b="2540"/>
            <wp:docPr id="3" name="图片 3" descr="168347144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3471448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  <w:r>
        <w:rPr>
          <w:rFonts w:hint="eastAsia"/>
        </w:rPr>
        <w:t>NXR-5800</w:t>
      </w:r>
      <w:r>
        <w:rPr>
          <w:rFonts w:hint="eastAsia"/>
          <w:lang w:val="en-US" w:eastAsia="zh-CN"/>
        </w:rPr>
        <w:t xml:space="preserve"> K6</w:t>
      </w:r>
      <w:r>
        <w:rPr>
          <w:rFonts w:hint="eastAsia"/>
        </w:rPr>
        <w:t>数字</w:t>
      </w:r>
      <w:r>
        <w:rPr>
          <w:rFonts w:hint="eastAsia"/>
          <w:lang w:val="en-US" w:eastAsia="zh-CN"/>
        </w:rPr>
        <w:t>集群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台遵循公开的NXDN数字技术标准。内置集群控制器，可以作为数字集群系统基站和常规中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台使用，并支持数字多基站IP联网工作，不同的应用模式之间平滑过渡。是既立足于现在又面向未来的高可靠性通信设备。</w:t>
      </w:r>
    </w:p>
    <w:p/>
    <w:p/>
    <w:p/>
    <w:p/>
    <w:p/>
    <w:p/>
    <w:p/>
    <w:p/>
    <w:p/>
    <w:p/>
    <w:p/>
    <w:p/>
    <w:p/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一般特征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超窄带信道，频率使用效率高：数字模式下能够以6.25kHz信道间隔工作，大幅度提高了频率使用效率；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数字/模拟双模式：具有数字工作模式和模拟工作模式，既可以作为NXDN数字系统中继台使用，也可以作为模拟系统的中转台使用；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中继/基地台双模式：本机除了中继转发工作模式外，还可作为基地台使用，前面板配置有6个可编程功能键、2位LED显示器、3W扬声器；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内置集群控制器：集群控制器/信道机一体化，常规系统到集群系统可平滑过渡；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内置以太网络接口：无论作为常规中继台使用，还是作为集群基站使用，都支持多基站IP联网工作方式，不需要另购买以太网络接口选件；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混合工作模式：数字和模拟双待机，自适应接收信号；当接到模拟信号，则自动转发模拟信号；当接到NXDN数字信号，则自动转发NXDN数字信号；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常规IP多基站联网：IP网采用单播寻址方式时，可连接16个基站；IP网采用通播寻址时，可联接48个以上基站；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常规无线多基站联网：使用两台（或两台以上）的NXR-5800 K6</w:t>
      </w:r>
      <w:bookmarkStart w:id="3" w:name="_GoBack"/>
      <w:bookmarkEnd w:id="3"/>
      <w:r>
        <w:rPr>
          <w:rFonts w:hint="eastAsia" w:ascii="Arial" w:hAnsi="Arial" w:eastAsia="宋体"/>
          <w:szCs w:val="22"/>
          <w:lang w:val="en-US" w:eastAsia="zh-CN"/>
        </w:rPr>
        <w:t>组合形成一台主转发和一台（或多台）链路实现无线链路的多基站联网系统；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数字集群工作模式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发射集群/信息集群可选择：通过编程可以选择发射集群方式或信息集群方式，以满足用户不同的要求和使用习惯；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单基站NEXEDGE®数字集群：每基站信道数量至少1个，可以多达30个，可提供3000个人号码和3000组号码；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多基站IP联网NEXEDGE数字集群：IP网采用单播寻址方式时，可连接16个基站；IP网采用通播寻址时，可联接48个基站。可提供60000个人号码和60000组号码；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功能：支持个别选呼、小组呼叫、系统全呼、广播呼叫、PSTN/PABX呼叫（需要加装选件）、状态信息呼叫、短数据呼叫、长数据呼叫、紧急报警呼叫；还具有动态重组、遇忙排队、呼叫优先级设置（最多8级）、优先接收ID （最多4个）、ESN验证、遥毙/复活、远地编程功能；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集群业务/常规模拟转发双功能信道：NEXEDGE集群系统可以设置集群/常规转发双功能信道既可以作为数字集群系统的业务信道使用，也可以支持模拟常规对讲机的通信转发；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default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内置QT/DQT编码/解码功能；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可设置16组动态QT/DQT；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配置DB25多功能插座，能够连接LTR集群控制器、MPT集群控制器等多种外部设备。</w:t>
      </w: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1"/>
        <w:gridCol w:w="1794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350-390MHz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13.2VDC（10.8-15.6VDC）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守候时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 A（高功率），9.0 A（25 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*331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接收灵敏度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3%误码率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12.5kHz/6.25kHz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0.33/0.27μV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模拟12dBSINAD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25kHz/12.5kHz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83dB/78dB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互调抑制（模拟）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杂散相应（模拟）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音频失真（外部扬声器）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2%以下（在0.3W）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3W（4Ω时，小于5%失真）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25W/5W/0.5W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调制限制（模拟）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±5kHz（25kHz信道）/±2.5kHz（12.5kHz信道）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杂散抑制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-36dBms1GHz/-30dBm&gt;1GHz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调频噪声（模拟）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55dB/50dB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1%以下（在1KHz）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电波类型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25KHz:16KOF3E/12.5kHz:8K50F3E 12.5KHz:8K30F1E/6.2kHz:4K00F1E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43833BC"/>
    <w:rsid w:val="05243941"/>
    <w:rsid w:val="05FE23E4"/>
    <w:rsid w:val="07C75183"/>
    <w:rsid w:val="08F71A98"/>
    <w:rsid w:val="092D54BA"/>
    <w:rsid w:val="0A6F4382"/>
    <w:rsid w:val="0A801619"/>
    <w:rsid w:val="0B1861E2"/>
    <w:rsid w:val="0B352404"/>
    <w:rsid w:val="0C1069CD"/>
    <w:rsid w:val="0F6E2388"/>
    <w:rsid w:val="0F8910A9"/>
    <w:rsid w:val="111425F0"/>
    <w:rsid w:val="11CA419E"/>
    <w:rsid w:val="145D3689"/>
    <w:rsid w:val="155C2C83"/>
    <w:rsid w:val="15E4785B"/>
    <w:rsid w:val="163C6D3C"/>
    <w:rsid w:val="16B32D77"/>
    <w:rsid w:val="16E11692"/>
    <w:rsid w:val="16E66D61"/>
    <w:rsid w:val="19D90074"/>
    <w:rsid w:val="1A48143E"/>
    <w:rsid w:val="1A7B3BAB"/>
    <w:rsid w:val="1AB570BD"/>
    <w:rsid w:val="1C36219D"/>
    <w:rsid w:val="1DD2442A"/>
    <w:rsid w:val="1E94348E"/>
    <w:rsid w:val="1FA932E3"/>
    <w:rsid w:val="1FB92A8D"/>
    <w:rsid w:val="2079293B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D1432B3"/>
    <w:rsid w:val="2D6B3CB9"/>
    <w:rsid w:val="2DA1155B"/>
    <w:rsid w:val="2E0A551A"/>
    <w:rsid w:val="30BC2D8B"/>
    <w:rsid w:val="311A5FF2"/>
    <w:rsid w:val="31777D04"/>
    <w:rsid w:val="31C75BFC"/>
    <w:rsid w:val="320F6A40"/>
    <w:rsid w:val="32607E4C"/>
    <w:rsid w:val="33313908"/>
    <w:rsid w:val="336D632F"/>
    <w:rsid w:val="34080E52"/>
    <w:rsid w:val="36743E79"/>
    <w:rsid w:val="36986E6B"/>
    <w:rsid w:val="36B1347B"/>
    <w:rsid w:val="37385DE2"/>
    <w:rsid w:val="377F2724"/>
    <w:rsid w:val="378325C5"/>
    <w:rsid w:val="3831701C"/>
    <w:rsid w:val="383C7CBE"/>
    <w:rsid w:val="38F85BFF"/>
    <w:rsid w:val="39FC665F"/>
    <w:rsid w:val="3AA953A4"/>
    <w:rsid w:val="3B09041B"/>
    <w:rsid w:val="3C522566"/>
    <w:rsid w:val="3CF03B2D"/>
    <w:rsid w:val="3D532A3A"/>
    <w:rsid w:val="3D5F13DF"/>
    <w:rsid w:val="3D601A89"/>
    <w:rsid w:val="3DF37D79"/>
    <w:rsid w:val="3EB412B6"/>
    <w:rsid w:val="3F514D57"/>
    <w:rsid w:val="42115651"/>
    <w:rsid w:val="448422C5"/>
    <w:rsid w:val="44E977E0"/>
    <w:rsid w:val="46A20FAA"/>
    <w:rsid w:val="48022966"/>
    <w:rsid w:val="488717E9"/>
    <w:rsid w:val="48AE321A"/>
    <w:rsid w:val="48C52312"/>
    <w:rsid w:val="48EB7FCA"/>
    <w:rsid w:val="4A4756D4"/>
    <w:rsid w:val="4A4B1C48"/>
    <w:rsid w:val="4A53205B"/>
    <w:rsid w:val="4B180E1F"/>
    <w:rsid w:val="4C082C41"/>
    <w:rsid w:val="4C1C493F"/>
    <w:rsid w:val="4D2C6E03"/>
    <w:rsid w:val="4E8D61CF"/>
    <w:rsid w:val="4EAF439C"/>
    <w:rsid w:val="4F075432"/>
    <w:rsid w:val="4F6F4D85"/>
    <w:rsid w:val="4FED4628"/>
    <w:rsid w:val="50267B3A"/>
    <w:rsid w:val="506A1680"/>
    <w:rsid w:val="50AD6BE4"/>
    <w:rsid w:val="516A22CE"/>
    <w:rsid w:val="51E90E1F"/>
    <w:rsid w:val="53051C89"/>
    <w:rsid w:val="531445C2"/>
    <w:rsid w:val="53397B84"/>
    <w:rsid w:val="54817A35"/>
    <w:rsid w:val="55007ECC"/>
    <w:rsid w:val="55D01046"/>
    <w:rsid w:val="56876E58"/>
    <w:rsid w:val="56D66003"/>
    <w:rsid w:val="577556CB"/>
    <w:rsid w:val="587632DC"/>
    <w:rsid w:val="58885441"/>
    <w:rsid w:val="589A10C5"/>
    <w:rsid w:val="58E40592"/>
    <w:rsid w:val="58EF4070"/>
    <w:rsid w:val="596A4F3B"/>
    <w:rsid w:val="5B0A49B8"/>
    <w:rsid w:val="5B0D4D70"/>
    <w:rsid w:val="5B7756EE"/>
    <w:rsid w:val="5D7A7717"/>
    <w:rsid w:val="5D9933F8"/>
    <w:rsid w:val="5E624433"/>
    <w:rsid w:val="603F4D07"/>
    <w:rsid w:val="611F485D"/>
    <w:rsid w:val="613025C6"/>
    <w:rsid w:val="61AD3208"/>
    <w:rsid w:val="621C0D9D"/>
    <w:rsid w:val="627B5AC3"/>
    <w:rsid w:val="62BB2364"/>
    <w:rsid w:val="63612F0B"/>
    <w:rsid w:val="63AB4186"/>
    <w:rsid w:val="65226971"/>
    <w:rsid w:val="65B5753E"/>
    <w:rsid w:val="65E322FD"/>
    <w:rsid w:val="662F158E"/>
    <w:rsid w:val="675608AD"/>
    <w:rsid w:val="6803642F"/>
    <w:rsid w:val="69DA174D"/>
    <w:rsid w:val="69E71C90"/>
    <w:rsid w:val="69E91EAC"/>
    <w:rsid w:val="6ADD44FB"/>
    <w:rsid w:val="6B480E55"/>
    <w:rsid w:val="6CE10C19"/>
    <w:rsid w:val="6CE93F71"/>
    <w:rsid w:val="6D102A05"/>
    <w:rsid w:val="6D260D22"/>
    <w:rsid w:val="6DFE57FA"/>
    <w:rsid w:val="6E1D0F49"/>
    <w:rsid w:val="6EC72405"/>
    <w:rsid w:val="6ED27944"/>
    <w:rsid w:val="6F67499A"/>
    <w:rsid w:val="6F9208F0"/>
    <w:rsid w:val="70217FA0"/>
    <w:rsid w:val="712D50B1"/>
    <w:rsid w:val="71597917"/>
    <w:rsid w:val="71F6772B"/>
    <w:rsid w:val="726B39D4"/>
    <w:rsid w:val="729A7CBB"/>
    <w:rsid w:val="72A526E9"/>
    <w:rsid w:val="72DA0AC8"/>
    <w:rsid w:val="72DC58F8"/>
    <w:rsid w:val="73AF381F"/>
    <w:rsid w:val="740202D4"/>
    <w:rsid w:val="752A2293"/>
    <w:rsid w:val="77277E53"/>
    <w:rsid w:val="775C1F10"/>
    <w:rsid w:val="779A6594"/>
    <w:rsid w:val="77D777E8"/>
    <w:rsid w:val="79224A93"/>
    <w:rsid w:val="79A03FCF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1507</Words>
  <Characters>2023</Characters>
  <Lines>0</Lines>
  <Paragraphs>0</Paragraphs>
  <TotalTime>7</TotalTime>
  <ScaleCrop>false</ScaleCrop>
  <LinksUpToDate>false</LinksUpToDate>
  <CharactersWithSpaces>2084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2023-05-07T15:06:24Z</dcterms:modified>
  <dc:title>NXR-5800 K6  350MHz数字集群中继台产品规格书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