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162300" cy="717550"/>
            <wp:effectExtent l="0" t="0" r="0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sdt>
      <w:sdtPr>
        <w:rPr>
          <w:b/>
          <w:sz w:val="64"/>
          <w:szCs w:val="64"/>
          <w:lang w:val="en-US"/>
        </w:rPr>
        <w:alias w:val="Document Title"/>
        <w:tag w:val="Cover_Document_Title"/>
        <w:id w:val="37766366"/>
        <w:lock w:val="sdtLocked"/>
      </w:sdtPr>
      <w:sdtEndPr>
        <w:rPr>
          <w:b/>
          <w:color w:val="0000FF"/>
          <w:sz w:val="56"/>
          <w:szCs w:val="56"/>
          <w:lang w:val="en-US"/>
        </w:rPr>
      </w:sdtEndPr>
      <w:sdtContent>
        <w:sdt>
          <w:sdtPr>
            <w:rPr>
              <w:rFonts w:hint="eastAsia"/>
              <w:b/>
              <w:sz w:val="64"/>
              <w:szCs w:val="64"/>
              <w:lang w:val="en-US"/>
            </w:rPr>
            <w:alias w:val="标题"/>
            <w:tag w:val="标题"/>
            <w:id w:val="382771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>
            <w:rPr>
              <w:rFonts w:hint="eastAsia"/>
              <w:b/>
              <w:color w:val="0000FF"/>
              <w:sz w:val="56"/>
              <w:szCs w:val="56"/>
              <w:lang w:val="en-US"/>
            </w:rPr>
          </w:sdtEndPr>
          <w:sdtContent>
            <w:p>
              <w:pPr>
                <w:rPr>
                  <w:b/>
                  <w:color w:val="0000FF"/>
                  <w:sz w:val="56"/>
                  <w:szCs w:val="56"/>
                  <w:lang w:val="en-US"/>
                </w:rPr>
              </w:pP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t>NX-3320-C1数字对讲机</w:t>
              </w: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br w:type="textWrapping"/>
              </w: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t>产品规格书</w:t>
              </w:r>
            </w:p>
          </w:sdtContent>
        </w:sdt>
      </w:sdtContent>
    </w:sdt>
    <w:sdt>
      <w:sdtPr>
        <w:rPr>
          <w:rFonts w:hint="eastAsia"/>
          <w:b/>
          <w:sz w:val="40"/>
          <w:szCs w:val="40"/>
          <w:lang w:eastAsia="zh-CN"/>
        </w:rPr>
        <w:alias w:val="Project Name"/>
        <w:tag w:val="Cover_Project_Name"/>
        <w:id w:val="37766369"/>
        <w:lock w:val="sdtLocked"/>
      </w:sdtPr>
      <w:sdtEndPr>
        <w:rPr>
          <w:rFonts w:hint="eastAsia"/>
          <w:b/>
          <w:sz w:val="64"/>
          <w:szCs w:val="64"/>
          <w:lang w:eastAsia="zh-CN"/>
        </w:rPr>
      </w:sdtEndPr>
      <w:sdtContent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rPr>
              <w:rFonts w:hint="eastAsia"/>
              <w:b/>
              <w:sz w:val="64"/>
              <w:szCs w:val="64"/>
              <w:lang w:eastAsia="zh-CN"/>
            </w:rPr>
          </w:pPr>
          <w:r>
            <w:rPr>
              <w:rFonts w:hint="eastAsia"/>
              <w:b/>
              <w:sz w:val="40"/>
              <w:szCs w:val="40"/>
              <w:lang w:val="en-US" w:eastAsia="zh-CN"/>
            </w:rPr>
            <w:t>建伍</w:t>
          </w:r>
          <w:r>
            <w:rPr>
              <w:rFonts w:hint="eastAsia"/>
              <w:b/>
              <w:sz w:val="40"/>
              <w:szCs w:val="40"/>
              <w:lang w:eastAsia="zh-CN"/>
            </w:rPr>
            <w:t>终端产品线</w:t>
          </w:r>
        </w:p>
      </w:sdtContent>
    </w:sdt>
    <w:sdt>
      <w:sdtPr>
        <w:rPr>
          <w:b/>
          <w:sz w:val="40"/>
          <w:szCs w:val="40"/>
        </w:rPr>
        <w:alias w:val="标题"/>
        <w:id w:val="382772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Fonts w:hint="eastAsia"/>
          <w:b/>
          <w:sz w:val="40"/>
          <w:szCs w:val="40"/>
        </w:rPr>
      </w:sdtEndPr>
      <w:sdtContent>
        <w:p>
          <w:pPr>
            <w:rPr>
              <w:rFonts w:hint="eastAsia"/>
              <w:b/>
              <w:sz w:val="40"/>
              <w:szCs w:val="40"/>
            </w:rPr>
          </w:pPr>
          <w:r>
            <w:rPr>
              <w:rFonts w:hint="eastAsia"/>
              <w:b/>
              <w:sz w:val="40"/>
              <w:szCs w:val="40"/>
              <w:lang w:eastAsia="zh-CN"/>
            </w:rPr>
            <w:t>NX-3320-C1数字对讲机产品规格书</w:t>
          </w:r>
        </w:p>
      </w:sdtContent>
    </w:sdt>
    <w:p>
      <w:pPr>
        <w:rPr>
          <w:rFonts w:hint="eastAsia"/>
          <w:b/>
          <w:sz w:val="40"/>
          <w:szCs w:val="40"/>
          <w:lang w:val="en-US" w:eastAsia="zh-CN"/>
        </w:rPr>
      </w:pPr>
    </w:p>
    <w:tbl>
      <w:tblPr>
        <w:tblStyle w:val="8"/>
        <w:tblW w:w="917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93"/>
        <w:gridCol w:w="1193"/>
        <w:gridCol w:w="1834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版本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作者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审核者</w:t>
            </w:r>
          </w:p>
        </w:tc>
        <w:tc>
          <w:tcPr>
            <w:tcW w:w="3865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V1.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2022.12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kenwus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widowControl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基线文档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版权所有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日本JVC建伍株式会社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保留所有权利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版权声明：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本文档著作权由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日本JVC建伍株式会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享有。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本文档中的信息随着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KENWOOD建伍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产品和技术的进步将不断更新。由于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JVC KENWOOD集团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技术的不断发展，以上指标数据若有变更，以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KENWOOD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的新发布资料为准，恕不另行通知。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NXDN®是JVCKENWOOD公司和ICOM公司的注册商标。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NEXEDGE®是JVCKENWOOD公司注册商标。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FleetSync®是JVCKENWOOD公司的注册商标。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AMBE+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2™</w:t>
      </w:r>
      <w:r>
        <w:rPr>
          <w:rFonts w:hint="eastAsia" w:ascii="宋体" w:hAnsi="宋体" w:eastAsia="宋体" w:cs="宋体"/>
          <w:sz w:val="18"/>
          <w:szCs w:val="18"/>
        </w:rPr>
        <w:t>是Digital Voice Systems Inc公司的注册商标。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所有其他商标均为其各自持有人的财产。</w:t>
      </w:r>
    </w:p>
    <w:sdt>
      <w:sdtPr>
        <w:rPr>
          <w:rFonts w:asciiTheme="minorHAnsi" w:hAnsiTheme="minorHAnsi" w:eastAsiaTheme="minorEastAsia" w:cstheme="minorBidi"/>
          <w:b w:val="0"/>
          <w:spacing w:val="0"/>
          <w:kern w:val="2"/>
          <w:sz w:val="21"/>
          <w:szCs w:val="22"/>
        </w:rPr>
        <w:id w:val="877760"/>
      </w:sdtPr>
      <w:sdtEnd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sdtEndPr>
      <w:sdtContent>
        <w:p>
          <w:pPr>
            <w:pStyle w:val="12"/>
            <w:outlineLvl w:val="9"/>
          </w:pPr>
          <w:r>
            <w:t>目录</w:t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"1-3" \h \z \u </w:instrText>
          </w:r>
          <w:r>
            <w:rPr>
              <w:b w:val="0"/>
            </w:rPr>
            <w:fldChar w:fldCharType="separate"/>
          </w:r>
          <w:r>
            <w:fldChar w:fldCharType="begin"/>
          </w:r>
          <w:r>
            <w:instrText xml:space="preserve"> HYPERLINK \l _Toc26484 </w:instrText>
          </w:r>
          <w:r>
            <w:fldChar w:fldCharType="separate"/>
          </w:r>
          <w:r>
            <w:t xml:space="preserve">1 </w:t>
          </w:r>
          <w:r>
            <w:rPr>
              <w:rFonts w:hint="eastAsia"/>
              <w:lang w:eastAsia="zh-CN"/>
            </w:rPr>
            <w:t>产品外观</w:t>
          </w:r>
          <w:r>
            <w:tab/>
          </w:r>
          <w:r>
            <w:fldChar w:fldCharType="begin"/>
          </w:r>
          <w:r>
            <w:instrText xml:space="preserve"> PAGEREF _Toc26484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_Toc14348 </w:instrText>
          </w:r>
          <w:r>
            <w:fldChar w:fldCharType="separate"/>
          </w:r>
          <w:r>
            <w:rPr>
              <w:rFonts w:hint="eastAsia"/>
              <w:lang w:eastAsia="zh-CN"/>
            </w:rPr>
            <w:t>2 产品特点</w:t>
          </w:r>
          <w:r>
            <w:tab/>
          </w:r>
          <w:r>
            <w:fldChar w:fldCharType="begin"/>
          </w:r>
          <w:r>
            <w:instrText xml:space="preserve"> PAGEREF _Toc14348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_Toc9930 </w:instrText>
          </w:r>
          <w:r>
            <w:fldChar w:fldCharType="separate"/>
          </w:r>
          <w:r>
            <w:rPr>
              <w:rFonts w:hint="eastAsia"/>
              <w:lang w:eastAsia="zh-CN"/>
            </w:rPr>
            <w:t>3 产品规格</w:t>
          </w:r>
          <w:r>
            <w:tab/>
          </w:r>
          <w:r>
            <w:rPr>
              <w:rFonts w:hint="eastAsia"/>
              <w:lang w:val="en-US" w:eastAsia="zh-CN"/>
            </w:rPr>
            <w:t>7</w:t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  <w:rPr>
              <w:rFonts w:hint="eastAsia" w:eastAsiaTheme="minorEastAsia"/>
              <w:lang w:val="en-US" w:eastAsia="zh-CN"/>
            </w:rPr>
          </w:pPr>
          <w:r>
            <w:fldChar w:fldCharType="begin"/>
          </w:r>
          <w:r>
            <w:instrText xml:space="preserve"> HYPERLINK \l _Toc14004 </w:instrText>
          </w:r>
          <w:r>
            <w:fldChar w:fldCharType="separate"/>
          </w:r>
          <w:r>
            <w:rPr>
              <w:rFonts w:hint="eastAsia"/>
              <w:lang w:eastAsia="zh-CN"/>
            </w:rPr>
            <w:t>4 标配附件</w:t>
          </w:r>
          <w:r>
            <w:tab/>
          </w:r>
          <w:r>
            <w:fldChar w:fldCharType="end"/>
          </w:r>
          <w:r>
            <w:rPr>
              <w:rFonts w:hint="eastAsia"/>
              <w:lang w:val="en-US" w:eastAsia="zh-CN"/>
            </w:rPr>
            <w:t>9</w:t>
          </w:r>
        </w:p>
        <w:p>
          <w:pPr>
            <w:rPr>
              <w:rFonts w:ascii="Arial" w:hAnsi="Arial" w:eastAsia="宋体" w:cstheme="minorBidi"/>
              <w:b w:val="0"/>
              <w:spacing w:val="0"/>
              <w:kern w:val="0"/>
              <w:sz w:val="21"/>
              <w:szCs w:val="22"/>
            </w:rPr>
          </w:pPr>
          <w:r>
            <w:fldChar w:fldCharType="end"/>
          </w:r>
        </w:p>
      </w:sdtContent>
    </w:sdt>
    <w:p>
      <w:p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0" w:name="_Toc26484"/>
      <w:r>
        <w:rPr>
          <w:rFonts w:hint="eastAsia"/>
          <w:lang w:eastAsia="zh-CN"/>
        </w:rPr>
        <w:t>产品外观</w:t>
      </w:r>
      <w:bookmarkEnd w:id="0"/>
    </w:p>
    <w:p/>
    <w:p>
      <w:r>
        <w:rPr>
          <w:rFonts w:hint="eastAsia"/>
          <w:lang w:val="en-US" w:eastAsia="zh-CN"/>
        </w:rPr>
        <w:t xml:space="preserve">                         </w:t>
      </w:r>
      <w:r>
        <w:drawing>
          <wp:inline distT="0" distB="0" distL="114300" distR="114300">
            <wp:extent cx="2009140" cy="6436995"/>
            <wp:effectExtent l="0" t="0" r="10160" b="1905"/>
            <wp:docPr id="5" name="图片 5" descr="NX-3000_HT_2P_FKY_FT_KRA27_57L_GR_LH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NX-3000_HT_2P_FKY_FT_KRA27_57L_GR_LH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643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7"/>
        <w:gridCol w:w="3036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51000" cy="1297305"/>
                  <wp:effectExtent l="0" t="0" r="0" b="10795"/>
                  <wp:docPr id="11" name="图片 11" descr="NX-3000_HT_2P_FKY_LightBar_MG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NX-3000_HT_2P_FKY_LightBar_MGT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1297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789430" cy="1376680"/>
                  <wp:effectExtent l="0" t="0" r="1270" b="7620"/>
                  <wp:docPr id="8" name="图片 8" descr="NX-3000_HT_2P_FKY_BT_57L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NX-3000_HT_2P_FKY_BT_57L_GR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430" cy="137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820420" cy="1365250"/>
                  <wp:effectExtent l="0" t="0" r="5080" b="6350"/>
                  <wp:docPr id="9" name="图片 9" descr="NX-3000_HT_2Pin_FKY_CONN_KRA22_55L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NX-3000_HT_2Pin_FKY_CONN_KRA22_55L_GR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420" cy="136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1" w:name="_Toc14348"/>
      <w:r>
        <w:rPr>
          <w:rFonts w:hint="eastAsia"/>
          <w:lang w:eastAsia="zh-CN"/>
        </w:rPr>
        <w:t>产品特点</w:t>
      </w:r>
      <w:bookmarkEnd w:id="1"/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通用特征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  <w:lang w:val="en-US" w:eastAsia="zh-CN"/>
        </w:rPr>
        <w:t>工作</w:t>
      </w:r>
      <w:r>
        <w:rPr>
          <w:rFonts w:hint="eastAsia" w:ascii="Arial" w:hAnsi="Arial" w:eastAsia="宋体"/>
          <w:szCs w:val="22"/>
        </w:rPr>
        <w:t>频率范围宽达120MHz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4行全点阵显示屏可显示中文</w:t>
      </w:r>
      <w:r>
        <w:rPr>
          <w:rFonts w:hint="eastAsia" w:ascii="Arial" w:hAnsi="Arial" w:eastAsia="宋体"/>
          <w:szCs w:val="22"/>
          <w:lang w:eastAsia="zh-CN"/>
        </w:rPr>
        <w:t>、</w:t>
      </w:r>
      <w:r>
        <w:rPr>
          <w:rFonts w:hint="eastAsia" w:ascii="Arial" w:hAnsi="Arial" w:eastAsia="宋体"/>
          <w:szCs w:val="22"/>
        </w:rPr>
        <w:t>英文、数字、图标等信息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7色LED指示灯提示不同的工作状态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7个可编程键+4方向键+12键制键盘，使用灵活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内置AMBE+2声码器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内置紧急报警功能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包括:手动触发报警、倒地报警、剧烈晃动报警、超时静止报警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内置单兵作业安全提示功能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</w:rPr>
        <w:t>具有语音提示功能</w:t>
      </w:r>
      <w:r>
        <w:rPr>
          <w:rFonts w:hint="eastAsia" w:ascii="Arial" w:hAnsi="Arial" w:eastAsia="宋体"/>
          <w:color w:val="FF0000"/>
          <w:szCs w:val="22"/>
          <w:lang w:eastAsia="zh-CN"/>
        </w:rPr>
        <w:t>，</w:t>
      </w:r>
      <w:r>
        <w:rPr>
          <w:rFonts w:hint="eastAsia" w:ascii="Arial" w:hAnsi="Arial" w:eastAsia="宋体"/>
          <w:color w:val="FF0000"/>
          <w:szCs w:val="22"/>
        </w:rPr>
        <w:t>并且可编辑语音输入</w:t>
      </w:r>
      <w:r>
        <w:rPr>
          <w:rFonts w:hint="eastAsia" w:ascii="Arial" w:hAnsi="Arial" w:eastAsia="宋体"/>
          <w:color w:val="FF0000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录音/回放功能</w:t>
      </w:r>
      <w:r>
        <w:rPr>
          <w:rFonts w:hint="eastAsia" w:ascii="Arial" w:hAnsi="Arial" w:eastAsia="宋体"/>
          <w:szCs w:val="22"/>
          <w:lang w:eastAsia="zh-CN"/>
        </w:rPr>
        <w:t>：</w:t>
      </w:r>
      <w:r>
        <w:rPr>
          <w:rFonts w:hint="eastAsia" w:ascii="Arial" w:hAnsi="Arial" w:eastAsia="宋体"/>
          <w:szCs w:val="22"/>
        </w:rPr>
        <w:t>分段录音，总长600秒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空中写频功能(选件)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采用主动消噪技术(ANR)，保证优异的语音质量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坚固耐用。符合美国军用标准MIL-STD810 C/D/E/F/G 11项环境试验标准</w:t>
      </w:r>
      <w:r>
        <w:rPr>
          <w:rFonts w:hint="eastAsia" w:ascii="Arial" w:hAnsi="Arial" w:eastAsia="宋体"/>
          <w:szCs w:val="22"/>
          <w:lang w:eastAsia="zh-CN"/>
        </w:rPr>
        <w:t>，</w:t>
      </w:r>
    </w:p>
    <w:p>
      <w:pPr>
        <w:pStyle w:val="13"/>
        <w:numPr>
          <w:ilvl w:val="0"/>
          <w:numId w:val="0"/>
        </w:numPr>
        <w:ind w:left="840" w:leftChars="0" w:firstLine="420" w:firstLineChars="200"/>
        <w:jc w:val="both"/>
        <w:rPr>
          <w:rFonts w:hint="eastAsia" w:ascii="Arial" w:hAnsi="Arial" w:eastAsia="宋体"/>
          <w:szCs w:val="22"/>
          <w:lang w:eastAsia="zh-CN"/>
        </w:rPr>
      </w:pPr>
      <w:r>
        <w:rPr>
          <w:rFonts w:hint="eastAsia" w:ascii="Arial" w:hAnsi="Arial" w:eastAsia="宋体"/>
          <w:szCs w:val="22"/>
        </w:rPr>
        <w:t>防尘和防水通过国际标准IP67的测试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  <w:lang w:val="en-US" w:eastAsia="zh-CN"/>
        </w:rPr>
        <w:t>支持扩展GPS /北斗定位与校时</w:t>
      </w:r>
      <w:r>
        <w:rPr>
          <w:rFonts w:hint="eastAsia" w:ascii="Arial" w:hAnsi="Arial" w:eastAsia="宋体"/>
          <w:color w:val="FF0000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  <w:lang w:val="en-US" w:eastAsia="zh-CN"/>
        </w:rPr>
        <w:t>支持扩展500小时录音</w:t>
      </w:r>
      <w:r>
        <w:rPr>
          <w:rFonts w:hint="eastAsia" w:ascii="Arial" w:hAnsi="Arial" w:eastAsia="宋体"/>
          <w:color w:val="FF0000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  <w:lang w:val="en-US" w:eastAsia="zh-CN"/>
        </w:rPr>
        <w:t>场强测试功能，</w:t>
      </w:r>
      <w:r>
        <w:rPr>
          <w:rFonts w:hint="eastAsia" w:ascii="Arial" w:hAnsi="Arial" w:eastAsia="宋体"/>
          <w:color w:val="FF0000"/>
          <w:szCs w:val="22"/>
        </w:rPr>
        <w:t>能够检测</w:t>
      </w:r>
      <w:r>
        <w:rPr>
          <w:rFonts w:hint="eastAsia" w:ascii="Arial" w:hAnsi="Arial" w:eastAsia="宋体"/>
          <w:color w:val="FF0000"/>
          <w:szCs w:val="22"/>
          <w:lang w:val="en-US" w:eastAsia="zh-CN"/>
        </w:rPr>
        <w:t>来自基站当前频道的场强</w:t>
      </w:r>
      <w:r>
        <w:rPr>
          <w:rFonts w:hint="eastAsia" w:ascii="Arial" w:hAnsi="Arial" w:eastAsia="宋体"/>
          <w:color w:val="FF0000"/>
          <w:szCs w:val="22"/>
        </w:rPr>
        <w:t>信号，</w:t>
      </w:r>
      <w:r>
        <w:rPr>
          <w:rFonts w:hint="eastAsia" w:ascii="Arial" w:hAnsi="Arial" w:eastAsia="宋体"/>
          <w:color w:val="FF0000"/>
          <w:szCs w:val="22"/>
          <w:lang w:val="en-US" w:eastAsia="zh-CN"/>
        </w:rPr>
        <w:t>为场所信号覆盖提供直观数据参考，进而改善网络覆盖质量；</w:t>
      </w: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</w:rPr>
      </w:pP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数字-DMR模式(选件)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符合ETSI DMR Tier</w:t>
      </w:r>
      <w:r>
        <w:rPr>
          <w:rFonts w:hint="eastAsia" w:ascii="Arial" w:hAnsi="Arial" w:eastAsia="宋体"/>
          <w:szCs w:val="22"/>
          <w:lang w:val="en-US" w:eastAsia="zh-CN"/>
        </w:rPr>
        <w:t xml:space="preserve"> </w:t>
      </w:r>
      <w:r>
        <w:rPr>
          <w:rFonts w:hint="eastAsia" w:ascii="Arial" w:hAnsi="Arial" w:eastAsia="宋体"/>
          <w:szCs w:val="22"/>
        </w:rPr>
        <w:t xml:space="preserve">II </w:t>
      </w:r>
      <w:r>
        <w:rPr>
          <w:rFonts w:hint="eastAsia" w:ascii="Arial" w:hAnsi="Arial" w:eastAsia="宋体"/>
          <w:szCs w:val="22"/>
          <w:lang w:val="en-US" w:eastAsia="zh-CN"/>
        </w:rPr>
        <w:t>/</w:t>
      </w:r>
      <w:r>
        <w:rPr>
          <w:rFonts w:hint="eastAsia" w:ascii="Arial" w:hAnsi="Arial" w:eastAsia="宋体"/>
          <w:szCs w:val="22"/>
        </w:rPr>
        <w:t>Tier</w:t>
      </w:r>
      <w:r>
        <w:rPr>
          <w:rFonts w:hint="eastAsia" w:ascii="Arial" w:hAnsi="Arial" w:eastAsia="宋体"/>
          <w:szCs w:val="22"/>
          <w:lang w:val="en-US" w:eastAsia="zh-CN"/>
        </w:rPr>
        <w:t xml:space="preserve"> </w:t>
      </w:r>
      <w:r>
        <w:rPr>
          <w:rFonts w:hint="eastAsia" w:ascii="Arial" w:hAnsi="Arial" w:eastAsia="宋体"/>
          <w:szCs w:val="22"/>
        </w:rPr>
        <w:t>III标准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color w:val="FF0000"/>
          <w:szCs w:val="22"/>
          <w:lang w:val="en-US" w:eastAsia="zh-CN"/>
        </w:rPr>
        <w:t>支持接入</w:t>
      </w:r>
      <w:r>
        <w:rPr>
          <w:rFonts w:hint="eastAsia" w:ascii="Arial" w:hAnsi="Arial" w:eastAsia="宋体"/>
          <w:color w:val="FF0000"/>
          <w:szCs w:val="22"/>
        </w:rPr>
        <w:t>Tier</w:t>
      </w:r>
      <w:r>
        <w:rPr>
          <w:rFonts w:hint="eastAsia" w:ascii="Arial" w:hAnsi="Arial" w:eastAsia="宋体"/>
          <w:color w:val="FF0000"/>
          <w:szCs w:val="22"/>
          <w:lang w:val="en-US" w:eastAsia="zh-CN"/>
        </w:rPr>
        <w:t xml:space="preserve"> </w:t>
      </w:r>
      <w:r>
        <w:rPr>
          <w:rFonts w:hint="eastAsia" w:ascii="Arial" w:hAnsi="Arial" w:eastAsia="宋体"/>
          <w:color w:val="FF0000"/>
          <w:szCs w:val="22"/>
        </w:rPr>
        <w:t>III</w:t>
      </w:r>
      <w:r>
        <w:rPr>
          <w:rFonts w:hint="eastAsia" w:ascii="Arial" w:hAnsi="Arial" w:eastAsia="宋体"/>
          <w:color w:val="FF0000"/>
          <w:szCs w:val="22"/>
          <w:lang w:val="en-US" w:eastAsia="zh-CN"/>
        </w:rPr>
        <w:t>专业集群系统；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12.5kHz载频2时隙TDMA方式</w:t>
      </w:r>
      <w:r>
        <w:rPr>
          <w:rFonts w:hint="eastAsia" w:ascii="Arial" w:hAnsi="Arial" w:eastAsia="宋体"/>
          <w:szCs w:val="22"/>
          <w:lang w:val="en-US"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支持语音业务</w:t>
      </w:r>
      <w:r>
        <w:rPr>
          <w:rFonts w:hint="eastAsia" w:ascii="Arial" w:hAnsi="Arial" w:eastAsia="宋体"/>
          <w:szCs w:val="22"/>
          <w:lang w:eastAsia="zh-CN"/>
        </w:rPr>
        <w:t>：</w:t>
      </w:r>
      <w:r>
        <w:rPr>
          <w:rFonts w:hint="eastAsia" w:ascii="Arial" w:hAnsi="Arial" w:eastAsia="宋体"/>
          <w:szCs w:val="22"/>
        </w:rPr>
        <w:t>个别呼叫，组呼，全呼，广播呼叫</w:t>
      </w:r>
      <w:r>
        <w:rPr>
          <w:rFonts w:hint="eastAsia" w:ascii="Arial" w:hAnsi="Arial" w:eastAsia="宋体"/>
          <w:szCs w:val="22"/>
          <w:lang w:val="en-US"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支持数据业务</w:t>
      </w:r>
      <w:r>
        <w:rPr>
          <w:rFonts w:hint="eastAsia" w:ascii="Arial" w:hAnsi="Arial" w:eastAsia="宋体"/>
          <w:szCs w:val="22"/>
          <w:lang w:eastAsia="zh-CN"/>
        </w:rPr>
        <w:t>：</w:t>
      </w:r>
      <w:r>
        <w:rPr>
          <w:rFonts w:hint="eastAsia" w:ascii="Arial" w:hAnsi="Arial" w:eastAsia="宋体"/>
          <w:szCs w:val="22"/>
        </w:rPr>
        <w:t xml:space="preserve"> 状态信息，文本信息，GPS数据</w:t>
      </w:r>
      <w:r>
        <w:rPr>
          <w:rFonts w:hint="eastAsia" w:ascii="Arial" w:hAnsi="Arial" w:eastAsia="宋体"/>
          <w:szCs w:val="22"/>
          <w:lang w:val="en-US"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具有呼叫强拆功</w:t>
      </w:r>
      <w:r>
        <w:rPr>
          <w:rFonts w:hint="eastAsia" w:ascii="Arial" w:hAnsi="Arial" w:eastAsia="宋体"/>
          <w:szCs w:val="22"/>
          <w:lang w:val="en-US"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直通模式下双时隙通信</w:t>
      </w:r>
      <w:r>
        <w:rPr>
          <w:rFonts w:hint="eastAsia" w:ascii="Arial" w:hAnsi="Arial" w:eastAsia="宋体"/>
          <w:szCs w:val="22"/>
          <w:lang w:val="en-US"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在多中转台IP联网下能够自动判选和切换到</w:t>
      </w:r>
      <w:r>
        <w:rPr>
          <w:rFonts w:hint="eastAsia" w:ascii="Arial" w:hAnsi="Arial" w:eastAsia="宋体"/>
          <w:szCs w:val="22"/>
          <w:lang w:val="en-US" w:eastAsia="zh-CN"/>
        </w:rPr>
        <w:t>更</w:t>
      </w:r>
      <w:r>
        <w:rPr>
          <w:rFonts w:hint="eastAsia" w:ascii="Arial" w:hAnsi="Arial" w:eastAsia="宋体"/>
          <w:szCs w:val="22"/>
        </w:rPr>
        <w:t>佳信号的中转台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漫游通信无需手动切换信道</w:t>
      </w:r>
      <w:r>
        <w:rPr>
          <w:rFonts w:hint="eastAsia" w:ascii="Arial" w:hAnsi="Arial" w:eastAsia="宋体"/>
          <w:szCs w:val="22"/>
          <w:lang w:val="en-US"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遥毙/复活/远程监听/远程检测(按需配置)</w:t>
      </w:r>
      <w:r>
        <w:rPr>
          <w:rFonts w:hint="eastAsia" w:ascii="Arial" w:hAnsi="Arial" w:eastAsia="宋体"/>
          <w:szCs w:val="22"/>
          <w:lang w:val="en-US"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内置15bit数字加密和DMR标准的ARC4 40bit加密功能</w:t>
      </w:r>
      <w:r>
        <w:rPr>
          <w:rFonts w:hint="eastAsia" w:ascii="Arial" w:hAnsi="Arial" w:eastAsia="宋体"/>
          <w:szCs w:val="22"/>
          <w:lang w:val="en-US" w:eastAsia="zh-CN"/>
        </w:rPr>
        <w:t>；</w:t>
      </w: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</w:rPr>
      </w:pP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数字-NXDN模式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超窄带FDMA方式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6.25kHz信道间隔和12.5kHz信道间隔可编程选择设置。使用灵活,频谱利用率高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支持语音业务</w:t>
      </w:r>
      <w:r>
        <w:rPr>
          <w:rFonts w:hint="eastAsia" w:ascii="Arial" w:hAnsi="Arial" w:eastAsia="宋体"/>
          <w:szCs w:val="22"/>
          <w:lang w:eastAsia="zh-CN"/>
        </w:rPr>
        <w:t>：</w:t>
      </w:r>
      <w:r>
        <w:rPr>
          <w:rFonts w:hint="eastAsia" w:ascii="Arial" w:hAnsi="Arial" w:eastAsia="宋体"/>
          <w:szCs w:val="22"/>
        </w:rPr>
        <w:t>个别选呼，组呼，全呼，广播呼叫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支持数据业务</w:t>
      </w:r>
      <w:r>
        <w:rPr>
          <w:rFonts w:hint="eastAsia" w:ascii="Arial" w:hAnsi="Arial" w:eastAsia="宋体"/>
          <w:szCs w:val="22"/>
          <w:lang w:eastAsia="zh-CN"/>
        </w:rPr>
        <w:t>：</w:t>
      </w:r>
      <w:r>
        <w:rPr>
          <w:rFonts w:hint="eastAsia" w:ascii="Arial" w:hAnsi="Arial" w:eastAsia="宋体"/>
          <w:szCs w:val="22"/>
        </w:rPr>
        <w:t>状态信息，文本信息 (短数据，长数据)，GPS数据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透明传输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具有15bit的语音加密功能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空中别名功能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呼叫方将自己的别名或ID发送到接收方显示出来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遥毙/复活/远程监听/远程检测(按需配置)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数字常规模式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</w:rPr>
        <w:t>在多中转台IP联网下能够自动判选和切换到</w:t>
      </w:r>
      <w:r>
        <w:rPr>
          <w:rFonts w:hint="eastAsia" w:ascii="Arial" w:hAnsi="Arial" w:eastAsia="宋体"/>
          <w:szCs w:val="22"/>
          <w:lang w:val="en-US" w:eastAsia="zh-CN"/>
        </w:rPr>
        <w:t>更</w:t>
      </w:r>
      <w:r>
        <w:rPr>
          <w:rFonts w:hint="eastAsia" w:ascii="Arial" w:hAnsi="Arial" w:eastAsia="宋体"/>
          <w:szCs w:val="22"/>
        </w:rPr>
        <w:t>佳信号的中转台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漫游通信无需手动切换信道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数字/模拟混合工作模式，双模双待，自适应响应。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63个RAN码。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NEXEDGE C型数字集群和Gen2数字集群(</w:t>
      </w:r>
      <w:r>
        <w:rPr>
          <w:rFonts w:hint="eastAsia" w:ascii="Arial" w:hAnsi="Arial" w:eastAsia="宋体"/>
          <w:szCs w:val="22"/>
          <w:lang w:val="en-US" w:eastAsia="zh-CN"/>
        </w:rPr>
        <w:t>选件</w:t>
      </w:r>
      <w:r>
        <w:rPr>
          <w:rFonts w:hint="eastAsia" w:ascii="Arial" w:hAnsi="Arial" w:eastAsia="宋体"/>
          <w:szCs w:val="22"/>
        </w:rPr>
        <w:t>)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优先呼叫(可分8个级别)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延迟加入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遇忙排队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4个优先接收ID实现强插通信动态重组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ESN验证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自动登记，漫游通信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0"/>
          <w:numId w:val="0"/>
        </w:numPr>
        <w:ind w:left="1470" w:leftChars="0"/>
        <w:jc w:val="left"/>
        <w:rPr>
          <w:rFonts w:hint="eastAsia" w:ascii="Arial" w:hAnsi="Arial" w:eastAsia="宋体"/>
          <w:szCs w:val="22"/>
        </w:rPr>
      </w:pP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模拟模式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支持模拟常规模式和LTR集群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PTT-ID/ANI</w:t>
      </w:r>
      <w:r>
        <w:rPr>
          <w:rFonts w:hint="eastAsia" w:ascii="Arial" w:hAnsi="Arial" w:eastAsia="宋体"/>
          <w:szCs w:val="22"/>
          <w:lang w:eastAsia="zh-CN"/>
        </w:rPr>
        <w:t>（</w:t>
      </w:r>
      <w:r>
        <w:rPr>
          <w:rFonts w:hint="eastAsia" w:ascii="Arial" w:hAnsi="Arial" w:eastAsia="宋体"/>
          <w:szCs w:val="22"/>
          <w:lang w:val="en-US" w:eastAsia="zh-CN"/>
        </w:rPr>
        <w:t>仅发射）</w:t>
      </w:r>
      <w:bookmarkStart w:id="6" w:name="_GoBack"/>
      <w:bookmarkEnd w:id="6"/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内置扰频加密功能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内置多种信令</w:t>
      </w:r>
      <w:r>
        <w:rPr>
          <w:rFonts w:hint="eastAsia" w:ascii="Arial" w:hAnsi="Arial" w:eastAsia="宋体"/>
          <w:szCs w:val="22"/>
          <w:lang w:eastAsia="zh-CN"/>
        </w:rPr>
        <w:t>：</w:t>
      </w:r>
      <w:r>
        <w:rPr>
          <w:rFonts w:hint="eastAsia" w:ascii="Arial" w:hAnsi="Arial" w:eastAsia="宋体"/>
          <w:szCs w:val="22"/>
        </w:rPr>
        <w:t>QT/DQT编码和解码，DTMF编码/解码，FleetSync/ FleetSync</w:t>
      </w:r>
      <w:r>
        <w:rPr>
          <w:rFonts w:hint="eastAsia" w:ascii="Arial" w:hAnsi="Arial" w:eastAsia="宋体"/>
          <w:szCs w:val="22"/>
          <w:lang w:val="en-US" w:eastAsia="zh-CN"/>
        </w:rPr>
        <w:t xml:space="preserve"> </w:t>
      </w:r>
      <w:r>
        <w:rPr>
          <w:rFonts w:hint="eastAsia" w:ascii="Arial" w:hAnsi="Arial" w:eastAsia="宋体"/>
          <w:szCs w:val="22"/>
        </w:rPr>
        <w:t>ll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MDC1200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0"/>
          <w:numId w:val="0"/>
        </w:numPr>
        <w:ind w:left="840" w:leftChars="0"/>
        <w:jc w:val="left"/>
        <w:rPr>
          <w:rFonts w:hint="eastAsia" w:ascii="Arial" w:hAnsi="Arial" w:eastAsia="宋体"/>
          <w:szCs w:val="22"/>
          <w:lang w:val="en-US" w:eastAsia="zh-CN"/>
        </w:rPr>
      </w:pP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pStyle w:val="2"/>
        <w:rPr>
          <w:rFonts w:hint="eastAsia"/>
          <w:lang w:eastAsia="zh-CN"/>
        </w:rPr>
      </w:pPr>
      <w:bookmarkStart w:id="2" w:name="_Toc9930"/>
      <w:r>
        <w:rPr>
          <w:rFonts w:hint="eastAsia"/>
          <w:lang w:val="en-US" w:eastAsia="zh-CN"/>
        </w:rPr>
        <w:t>标准技术</w:t>
      </w:r>
      <w:r>
        <w:rPr>
          <w:rFonts w:hint="eastAsia"/>
          <w:lang w:eastAsia="zh-CN"/>
        </w:rPr>
        <w:t>规格</w:t>
      </w:r>
      <w:bookmarkEnd w:id="2"/>
    </w:p>
    <w:tbl>
      <w:tblPr>
        <w:tblStyle w:val="8"/>
        <w:tblW w:w="86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225"/>
        <w:gridCol w:w="5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频率范围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~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520MHz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信道数量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260(标配），1000（选配）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区域数量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信道间隔 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12.5kHz/25kHz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6.25kHz/12.5kHz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工作电源电压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7.5VDC±20%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电池使用时间（FDMA/TDMA)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5-5-90工作循环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约11小时（KNB-57L电池）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主机工作温度范围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- 30～+60℃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天线阻抗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尺寸（宽x高x厚）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本机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59x119.6x36.4mm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配KNB-57L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54x119.6x39mm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重量 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本机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配KNB-57L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支持标准 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ETSI(EMC)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301 489-3，EN 301 489-5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301 489-17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ETSI(频谱)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300 086，EN 300 113，EN 300 219,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300 328，EN 300 440，EN 300 166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ETSI(安全)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60065，EN 60215，EN 60950-1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灵敏度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NXDN 3%误码率（6.25kHz/12.5kHz）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0.20μV/0.25μV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00" w:hanging="1100" w:hangingChars="5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NXDN 1%识码率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（6.25kHz/12.5kHz）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0.32μV/0.45μV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DMR 5%识码率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0.30μV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DMR 1%识码率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 EIA 12dB SINAD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(12.5kHz/25kHz)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 EIA 20dB SINAD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(12.5kHz/25kHz)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0.45μV/0.35μV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选择性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模拟12.5/25kHz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68dB/76dB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互调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杂波辐射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音频失真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音频输出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3%失真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500mW/8Ω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内置扬声器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5%失真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1000mW/8Ω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发射功率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高5W/中4W/低1W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杂散辐射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-36dBm≤1GHz，-30dBm&gt;1GHcz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剩余调频(模拟)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12.5kHz/25kHz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40dB/45dB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调制失真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数字协议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NXDN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NXDN TS 1-A，NXDN TS 1-B，NXDN TS 1-C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NXDN TS 1-D，NXDN TS 1-E，NXDN TS 1-F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DMR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ETSITS102 361-1，-2，-3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调制类型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16KOF3E，8K5F3E，8K30F1E，8K30F1D8K30F7W，7K50F2D，7K60FXE，7K60FXD4K00F1E，4K00F1D，4K00F7W，4K00F2D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*根据实际测量</w:t>
      </w:r>
    </w:p>
    <w:p>
      <w:pPr>
        <w:rPr>
          <w:rFonts w:hint="eastAsia"/>
        </w:rPr>
      </w:pPr>
      <w:r>
        <w:rPr>
          <w:rFonts w:hint="eastAsia"/>
        </w:rPr>
        <w:t>上述数据是典型值。</w:t>
      </w:r>
    </w:p>
    <w:p>
      <w:pPr>
        <w:rPr>
          <w:rFonts w:hint="eastAsia"/>
        </w:rPr>
      </w:pPr>
      <w:r>
        <w:rPr>
          <w:rFonts w:hint="eastAsia"/>
        </w:rPr>
        <w:t>固件和软件的升级细节和时间是不固定的，恕不预先通知。</w:t>
      </w:r>
    </w:p>
    <w:p>
      <w:pPr>
        <w:rPr>
          <w:rFonts w:hint="eastAsia"/>
        </w:rPr>
      </w:pPr>
      <w:r>
        <w:rPr>
          <w:rFonts w:hint="eastAsia"/>
        </w:rPr>
        <w:t>由于技术不断地发展，以上数据有可能变更，恕不预先通知。</w:t>
      </w:r>
    </w:p>
    <w:p/>
    <w:p/>
    <w:p/>
    <w:p/>
    <w:p/>
    <w:p/>
    <w:p/>
    <w:p/>
    <w:p/>
    <w:p/>
    <w:p>
      <w:pPr>
        <w:pStyle w:val="2"/>
        <w:rPr>
          <w:rFonts w:hint="eastAsia"/>
          <w:lang w:eastAsia="zh-CN"/>
        </w:rPr>
      </w:pPr>
      <w:bookmarkStart w:id="3" w:name="_Toc30620"/>
      <w:bookmarkStart w:id="4" w:name="_Toc14004"/>
      <w:bookmarkStart w:id="5" w:name="_Toc5208"/>
      <w:r>
        <w:rPr>
          <w:rFonts w:hint="eastAsia"/>
          <w:lang w:eastAsia="zh-CN"/>
        </w:rPr>
        <w:t>标配附件</w:t>
      </w:r>
      <w:bookmarkEnd w:id="3"/>
      <w:bookmarkEnd w:id="4"/>
      <w:bookmarkEnd w:id="5"/>
    </w:p>
    <w:tbl>
      <w:tblPr>
        <w:tblStyle w:val="9"/>
        <w:tblpPr w:leftFromText="180" w:rightFromText="180" w:vertAnchor="text" w:horzAnchor="page" w:tblpX="2052" w:tblpY="347"/>
        <w:tblOverlap w:val="never"/>
        <w:tblW w:w="8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2520"/>
        <w:gridCol w:w="1335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背 夹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(KBH-11)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457325" cy="1943100"/>
                  <wp:effectExtent l="0" t="0" r="3175" b="0"/>
                  <wp:docPr id="7" name="图片 7" descr="IMG_8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48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天 线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(KRA-27)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660400" cy="2444750"/>
                  <wp:effectExtent l="0" t="0" r="0" b="635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244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锂离子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电池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(KNB-57L)</w:t>
            </w:r>
          </w:p>
          <w:p>
            <w:pPr>
              <w:jc w:val="center"/>
              <w:rPr>
                <w:rFonts w:hint="default" w:ascii="Arial" w:hAnsi="Arial" w:eastAsiaTheme="minorEastAsia" w:cstheme="minorBidi"/>
                <w:b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(1900mAh)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Arial" w:hAnsi="Arial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Arial" w:hAnsi="Arial" w:eastAsia="宋体" w:cstheme="minorBidi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114300" distR="114300">
                  <wp:extent cx="1457325" cy="1943100"/>
                  <wp:effectExtent l="0" t="0" r="3175" b="0"/>
                  <wp:docPr id="6" name="图片 6" descr="IMG_8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47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快速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充电器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(KSC-25LS)</w:t>
            </w:r>
          </w:p>
        </w:tc>
        <w:tc>
          <w:tcPr>
            <w:tcW w:w="6675" w:type="dxa"/>
            <w:gridSpan w:val="3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3581400" cy="2139950"/>
                  <wp:effectExtent l="0" t="0" r="0" b="635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213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>
      <w:pPr>
        <w:rPr>
          <w:rFonts w:hint="eastAsia"/>
          <w:b/>
          <w:sz w:val="40"/>
          <w:szCs w:val="4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8280"/>
      </w:tabs>
      <w:spacing w:line="180" w:lineRule="exact"/>
      <w:ind w:right="360"/>
      <w:rPr>
        <w:rFonts w:hint="eastAsia" w:ascii="楷体_GB2312" w:eastAsia="楷体_GB2312"/>
      </w:rPr>
    </w:pPr>
    <w:r>
      <w:rPr>
        <w:rStyle w:val="11"/>
        <w:rFonts w:hint="eastAsia" w:ascii="楷体_GB2312" w:eastAsia="楷体_GB2312"/>
      </w:rPr>
      <w:t>版权所有</w:t>
    </w:r>
    <w:r>
      <w:rPr>
        <w:rStyle w:val="11"/>
        <w:rFonts w:hint="eastAsia" w:eastAsia="楷体_GB2312"/>
      </w:rPr>
      <w:t>©</w:t>
    </w:r>
    <w:r>
      <w:rPr>
        <w:rStyle w:val="11"/>
        <w:rFonts w:hint="eastAsia" w:ascii="楷体_GB2312" w:eastAsia="楷体_GB2312"/>
      </w:rPr>
      <w:t xml:space="preserve"> </w:t>
    </w:r>
    <w:r>
      <w:rPr>
        <w:rFonts w:hint="eastAsia" w:ascii="楷体_GB2312" w:eastAsia="楷体_GB2312"/>
      </w:rPr>
      <w:fldChar w:fldCharType="begin"/>
    </w:r>
    <w:r>
      <w:rPr>
        <w:rStyle w:val="11"/>
        <w:rFonts w:hint="eastAsia" w:ascii="楷体_GB2312" w:eastAsia="楷体_GB2312"/>
      </w:rPr>
      <w:instrText xml:space="preserve"> DATE \@ "yyyy" </w:instrText>
    </w:r>
    <w:r>
      <w:rPr>
        <w:rFonts w:hint="eastAsia" w:ascii="楷体_GB2312" w:eastAsia="楷体_GB2312"/>
      </w:rPr>
      <w:fldChar w:fldCharType="separate"/>
    </w:r>
    <w:r>
      <w:rPr>
        <w:rStyle w:val="11"/>
        <w:rFonts w:hint="eastAsia" w:ascii="楷体_GB2312" w:eastAsia="楷体_GB2312"/>
      </w:rPr>
      <w:t>2023</w:t>
    </w:r>
    <w:r>
      <w:rPr>
        <w:rFonts w:hint="eastAsia" w:ascii="楷体_GB2312" w:eastAsia="楷体_GB2312"/>
      </w:rPr>
      <w:fldChar w:fldCharType="end"/>
    </w:r>
    <w:r>
      <w:rPr>
        <w:rStyle w:val="11"/>
        <w:rFonts w:hint="eastAsia" w:ascii="楷体_GB2312" w:eastAsia="楷体_GB2312"/>
      </w:rPr>
      <w:t xml:space="preserve"> www.kenwood.com</w:t>
    </w:r>
    <w:r>
      <w:rPr>
        <w:rFonts w:hint="eastAsia" w:ascii="楷体_GB2312" w:eastAsia="楷体_GB2312"/>
      </w:rPr>
      <w:t xml:space="preserve">                                                                             </w:t>
    </w:r>
  </w:p>
  <w:p>
    <w:pPr>
      <w:pStyle w:val="6"/>
      <w:spacing w:line="180" w:lineRule="exact"/>
    </w:pPr>
    <w:r>
      <w:rPr>
        <w:rStyle w:val="11"/>
        <w:rFonts w:hint="eastAsia" w:ascii="楷体_GB2312" w:eastAsia="楷体_GB2312"/>
      </w:rPr>
      <w:t>内部保密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jc w:val="right"/>
    </w:pPr>
    <w:r>
      <w:rPr>
        <w:u w:val="none"/>
      </w:rPr>
      <w:drawing>
        <wp:inline distT="0" distB="0" distL="114300" distR="114300">
          <wp:extent cx="1390015" cy="315595"/>
          <wp:effectExtent l="0" t="0" r="6985" b="190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015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3446E6"/>
    <w:multiLevelType w:val="multilevel"/>
    <w:tmpl w:val="283446E6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68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89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52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94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36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78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20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620" w:leftChars="0" w:hanging="420" w:firstLineChars="0"/>
      </w:pPr>
      <w:rPr>
        <w:rFonts w:hint="default" w:ascii="Wingdings" w:hAnsi="Wingdings"/>
      </w:rPr>
    </w:lvl>
  </w:abstractNum>
  <w:abstractNum w:abstractNumId="1">
    <w:nsid w:val="3CC37D45"/>
    <w:multiLevelType w:val="multilevel"/>
    <w:tmpl w:val="3CC37D45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4421996"/>
    <w:multiLevelType w:val="multilevel"/>
    <w:tmpl w:val="64421996"/>
    <w:lvl w:ilvl="0" w:tentative="0">
      <w:start w:val="1"/>
      <w:numFmt w:val="decimal"/>
      <w:pStyle w:val="2"/>
      <w:lvlText w:val="%1"/>
      <w:lvlJc w:val="left"/>
    </w:lvl>
    <w:lvl w:ilvl="1" w:tentative="0">
      <w:start w:val="1"/>
      <w:numFmt w:val="decimal"/>
      <w:lvlText w:val="%1.%2"/>
      <w:lvlJc w:val="left"/>
    </w:lvl>
    <w:lvl w:ilvl="2" w:tentative="0">
      <w:start w:val="1"/>
      <w:numFmt w:val="decimal"/>
      <w:lvlText w:val="%1.%2.%3"/>
      <w:lvlJc w:val="left"/>
      <w:rPr>
        <w:rFonts w:hint="default" w:ascii="Arial" w:hAnsi="Arial" w:cs="Arial"/>
      </w:rPr>
    </w:lvl>
    <w:lvl w:ilvl="3" w:tentative="0">
      <w:start w:val="1"/>
      <w:numFmt w:val="decimal"/>
      <w:lvlText w:val="%1.%2.%3.%4"/>
      <w:lvlJc w:val="left"/>
    </w:lvl>
    <w:lvl w:ilvl="4" w:tentative="0">
      <w:start w:val="1"/>
      <w:numFmt w:val="decimal"/>
      <w:lvlText w:val="%1.%2.%3.%4.%5"/>
      <w:lvlJc w:val="left"/>
    </w:lvl>
    <w:lvl w:ilvl="5" w:tentative="0">
      <w:start w:val="1"/>
      <w:numFmt w:val="decimal"/>
      <w:lvlText w:val="%1.%2.%3.%4.%5.%6"/>
      <w:lvlJc w:val="left"/>
    </w:lvl>
    <w:lvl w:ilvl="6" w:tentative="0">
      <w:start w:val="1"/>
      <w:numFmt w:val="decimal"/>
      <w:lvlText w:val="%1.%2.%3.%4.%5.%6.%7"/>
      <w:lvlJc w:val="left"/>
    </w:lvl>
    <w:lvl w:ilvl="7" w:tentative="0">
      <w:start w:val="1"/>
      <w:numFmt w:val="decimal"/>
      <w:lvlText w:val="%1.%2.%3.%4.%5.%6.%7.%8"/>
      <w:lvlJc w:val="left"/>
    </w:lvl>
    <w:lvl w:ilvl="8" w:tentative="0">
      <w:start w:val="1"/>
      <w:numFmt w:val="decimal"/>
      <w:lvlText w:val="%1.%2.%3.%4.%5.%6.%7.%8.%9"/>
      <w:lvlJc w:val="left"/>
    </w:lvl>
  </w:abstractNum>
  <w:abstractNum w:abstractNumId="3">
    <w:nsid w:val="7580A2F1"/>
    <w:multiLevelType w:val="multilevel"/>
    <w:tmpl w:val="7580A2F1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68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10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52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94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36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78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20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620" w:leftChars="0" w:hanging="420" w:firstLineChars="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NTJiZmZlN2QxMTJmYTM2ZTkwMWU2NTFiOTUzY2YifQ=="/>
  </w:docVars>
  <w:rsids>
    <w:rsidRoot w:val="00000000"/>
    <w:rsid w:val="00DE2DDD"/>
    <w:rsid w:val="017512B4"/>
    <w:rsid w:val="03824AAC"/>
    <w:rsid w:val="05243941"/>
    <w:rsid w:val="05604AA5"/>
    <w:rsid w:val="05FE23E4"/>
    <w:rsid w:val="07C75183"/>
    <w:rsid w:val="08F71A98"/>
    <w:rsid w:val="0F8910A9"/>
    <w:rsid w:val="111425F0"/>
    <w:rsid w:val="145D3689"/>
    <w:rsid w:val="155C2C83"/>
    <w:rsid w:val="163C6D3C"/>
    <w:rsid w:val="16B32D77"/>
    <w:rsid w:val="16E11692"/>
    <w:rsid w:val="16E66D61"/>
    <w:rsid w:val="1A7B3BAB"/>
    <w:rsid w:val="1AC6529E"/>
    <w:rsid w:val="1C36219D"/>
    <w:rsid w:val="1CE943B4"/>
    <w:rsid w:val="1DD2442A"/>
    <w:rsid w:val="1E94348E"/>
    <w:rsid w:val="1FA932E3"/>
    <w:rsid w:val="209459C7"/>
    <w:rsid w:val="21294361"/>
    <w:rsid w:val="21AD6D40"/>
    <w:rsid w:val="21CE6CB6"/>
    <w:rsid w:val="22436676"/>
    <w:rsid w:val="22BD7457"/>
    <w:rsid w:val="23AC53CD"/>
    <w:rsid w:val="243E6375"/>
    <w:rsid w:val="25900E53"/>
    <w:rsid w:val="25BF7042"/>
    <w:rsid w:val="26CA3628"/>
    <w:rsid w:val="272555CB"/>
    <w:rsid w:val="275B0FEC"/>
    <w:rsid w:val="27CC3C98"/>
    <w:rsid w:val="29C10D80"/>
    <w:rsid w:val="2AF73935"/>
    <w:rsid w:val="2B9E594C"/>
    <w:rsid w:val="2C574478"/>
    <w:rsid w:val="2E0A551A"/>
    <w:rsid w:val="311A5FF2"/>
    <w:rsid w:val="31777D04"/>
    <w:rsid w:val="320F6A40"/>
    <w:rsid w:val="33313908"/>
    <w:rsid w:val="336D632F"/>
    <w:rsid w:val="34080E52"/>
    <w:rsid w:val="36B1347B"/>
    <w:rsid w:val="37385DE2"/>
    <w:rsid w:val="377F2724"/>
    <w:rsid w:val="3831701C"/>
    <w:rsid w:val="383C7CBE"/>
    <w:rsid w:val="3C522566"/>
    <w:rsid w:val="3D601A89"/>
    <w:rsid w:val="3EB412B6"/>
    <w:rsid w:val="3F514D57"/>
    <w:rsid w:val="44E977E0"/>
    <w:rsid w:val="48022966"/>
    <w:rsid w:val="488717E9"/>
    <w:rsid w:val="48C52312"/>
    <w:rsid w:val="4A4756D4"/>
    <w:rsid w:val="4A53205B"/>
    <w:rsid w:val="4B143261"/>
    <w:rsid w:val="4B180E1F"/>
    <w:rsid w:val="4B7C7DE3"/>
    <w:rsid w:val="4C082C41"/>
    <w:rsid w:val="4E8D61CF"/>
    <w:rsid w:val="4EAF439C"/>
    <w:rsid w:val="4F075432"/>
    <w:rsid w:val="4F1A33B7"/>
    <w:rsid w:val="4FED4628"/>
    <w:rsid w:val="50267B3A"/>
    <w:rsid w:val="506A1680"/>
    <w:rsid w:val="50AD6BE4"/>
    <w:rsid w:val="53051C89"/>
    <w:rsid w:val="531445C2"/>
    <w:rsid w:val="54403B23"/>
    <w:rsid w:val="55D01046"/>
    <w:rsid w:val="56876E58"/>
    <w:rsid w:val="56D66003"/>
    <w:rsid w:val="587632DC"/>
    <w:rsid w:val="58885441"/>
    <w:rsid w:val="589A10C5"/>
    <w:rsid w:val="58E40592"/>
    <w:rsid w:val="596A4F3B"/>
    <w:rsid w:val="5B0D4D70"/>
    <w:rsid w:val="5B7756EE"/>
    <w:rsid w:val="5D9933F8"/>
    <w:rsid w:val="5E624433"/>
    <w:rsid w:val="603F4D07"/>
    <w:rsid w:val="61AD3208"/>
    <w:rsid w:val="621C0D9D"/>
    <w:rsid w:val="6261649F"/>
    <w:rsid w:val="627B5AC3"/>
    <w:rsid w:val="63612F0B"/>
    <w:rsid w:val="63870498"/>
    <w:rsid w:val="65226971"/>
    <w:rsid w:val="65B5753E"/>
    <w:rsid w:val="65C57596"/>
    <w:rsid w:val="65E322FD"/>
    <w:rsid w:val="69A27DD9"/>
    <w:rsid w:val="69DA174D"/>
    <w:rsid w:val="69E71C90"/>
    <w:rsid w:val="69E91EAC"/>
    <w:rsid w:val="6ADD44FB"/>
    <w:rsid w:val="6B480E55"/>
    <w:rsid w:val="6B5740E7"/>
    <w:rsid w:val="6D102A05"/>
    <w:rsid w:val="6D260D22"/>
    <w:rsid w:val="6DFE57FA"/>
    <w:rsid w:val="6EC72405"/>
    <w:rsid w:val="6F9208F0"/>
    <w:rsid w:val="70217FA0"/>
    <w:rsid w:val="712D50B1"/>
    <w:rsid w:val="726B39D4"/>
    <w:rsid w:val="72A526E9"/>
    <w:rsid w:val="752A2293"/>
    <w:rsid w:val="77277E53"/>
    <w:rsid w:val="779A6594"/>
    <w:rsid w:val="77D777E8"/>
    <w:rsid w:val="79224A93"/>
    <w:rsid w:val="79A03FCF"/>
    <w:rsid w:val="7B5353D8"/>
    <w:rsid w:val="7C413482"/>
    <w:rsid w:val="7C5E16DD"/>
    <w:rsid w:val="7C9C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numPr>
        <w:ilvl w:val="0"/>
        <w:numId w:val="1"/>
      </w:numPr>
      <w:spacing w:before="480" w:line="288" w:lineRule="auto"/>
      <w:ind w:left="1247" w:hanging="1247"/>
      <w:jc w:val="both"/>
      <w:outlineLvl w:val="0"/>
    </w:pPr>
    <w:rPr>
      <w:rFonts w:ascii="Arial" w:hAnsi="Arial" w:eastAsia="宋体" w:cstheme="minorBidi"/>
      <w:b/>
      <w:bCs/>
      <w:kern w:val="44"/>
      <w:sz w:val="36"/>
      <w:szCs w:val="4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4"/>
    <w:next w:val="1"/>
    <w:unhideWhenUsed/>
    <w:qFormat/>
    <w:uiPriority w:val="39"/>
    <w:pPr>
      <w:tabs>
        <w:tab w:val="left" w:pos="420"/>
        <w:tab w:val="left" w:pos="567"/>
        <w:tab w:val="left" w:pos="1134"/>
        <w:tab w:val="left" w:pos="1777"/>
        <w:tab w:val="right" w:leader="dot" w:pos="8789"/>
        <w:tab w:val="right" w:leader="dot" w:pos="9062"/>
      </w:tabs>
      <w:ind w:left="1701" w:right="34" w:hanging="567"/>
    </w:pPr>
  </w:style>
  <w:style w:type="paragraph" w:styleId="4">
    <w:name w:val="toc 2"/>
    <w:basedOn w:val="5"/>
    <w:next w:val="1"/>
    <w:unhideWhenUsed/>
    <w:qFormat/>
    <w:uiPriority w:val="39"/>
    <w:pPr>
      <w:tabs>
        <w:tab w:val="left" w:pos="420"/>
        <w:tab w:val="left" w:pos="567"/>
        <w:tab w:val="left" w:pos="1134"/>
        <w:tab w:val="right" w:leader="dot" w:pos="8789"/>
        <w:tab w:val="right" w:leader="dot" w:pos="9062"/>
      </w:tabs>
      <w:spacing w:before="120"/>
      <w:ind w:left="1276" w:right="907" w:hanging="709"/>
    </w:pPr>
    <w:rPr>
      <w:b w:val="0"/>
    </w:rPr>
  </w:style>
  <w:style w:type="paragraph" w:styleId="5">
    <w:name w:val="toc 1"/>
    <w:basedOn w:val="1"/>
    <w:next w:val="4"/>
    <w:unhideWhenUsed/>
    <w:qFormat/>
    <w:uiPriority w:val="39"/>
    <w:pPr>
      <w:keepNext/>
      <w:widowControl/>
      <w:tabs>
        <w:tab w:val="left" w:pos="420"/>
        <w:tab w:val="left" w:pos="567"/>
        <w:tab w:val="right" w:leader="dot" w:pos="8789"/>
        <w:tab w:val="right" w:leader="dot" w:pos="9062"/>
      </w:tabs>
      <w:spacing w:before="360"/>
      <w:ind w:left="567" w:right="34" w:hanging="425"/>
      <w:jc w:val="left"/>
    </w:pPr>
    <w:rPr>
      <w:b/>
      <w:kern w:val="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TOC Heading"/>
    <w:basedOn w:val="1"/>
    <w:unhideWhenUsed/>
    <w:qFormat/>
    <w:uiPriority w:val="39"/>
    <w:pPr>
      <w:keepNext/>
      <w:widowControl/>
      <w:spacing w:before="840" w:after="240"/>
      <w:jc w:val="left"/>
    </w:pPr>
    <w:rPr>
      <w:rFonts w:cstheme="majorBidi"/>
      <w:b/>
      <w:spacing w:val="10"/>
      <w:kern w:val="20"/>
      <w:sz w:val="40"/>
      <w:szCs w:val="2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jpe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1576</Words>
  <Characters>2482</Characters>
  <Lines>0</Lines>
  <Paragraphs>0</Paragraphs>
  <TotalTime>2</TotalTime>
  <ScaleCrop>false</ScaleCrop>
  <LinksUpToDate>false</LinksUpToDate>
  <CharactersWithSpaces>2601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2022-12-09T08:53:00Z</dcterms:created>
  <dc:creator>上海汉界通信工程有限公司</dc:creator>
  <cp:lastModifiedBy>无线对讲系统-徐工13918677771</cp:lastModifiedBy>
  <dcterms:modified xsi:type="dcterms:W3CDTF">2023-04-26T01:31:19Z</dcterms:modified>
  <dc:title>NX-3320-C1数字对讲机
产品规格书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A173627EB58C4F35ABE33FBE9DB0A2D3</vt:lpwstr>
  </property>
</Properties>
</file>